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val="en-GB" w:eastAsia="en-US"/>
        </w:rPr>
        <w:id w:val="-1145588016"/>
        <w:docPartObj>
          <w:docPartGallery w:val="Cover Pages"/>
          <w:docPartUnique/>
        </w:docPartObj>
      </w:sdtPr>
      <w:sdtEndPr>
        <w:rPr>
          <w:rFonts w:asciiTheme="minorHAnsi" w:eastAsiaTheme="minorHAnsi" w:hAnsiTheme="minorHAnsi" w:cstheme="minorBidi"/>
          <w:b/>
          <w:caps w:val="0"/>
          <w:sz w:val="32"/>
          <w:szCs w:val="32"/>
        </w:rPr>
      </w:sdtEndPr>
      <w:sdtContent>
        <w:tbl>
          <w:tblPr>
            <w:tblW w:w="5000" w:type="pct"/>
            <w:jc w:val="center"/>
            <w:tblLook w:val="04A0" w:firstRow="1" w:lastRow="0" w:firstColumn="1" w:lastColumn="0" w:noHBand="0" w:noVBand="1"/>
          </w:tblPr>
          <w:tblGrid>
            <w:gridCol w:w="9242"/>
          </w:tblGrid>
          <w:tr w:rsidR="00B93B65" w:rsidRPr="002F7BCB" w14:paraId="0E69B4A9" w14:textId="77777777">
            <w:trPr>
              <w:trHeight w:val="2880"/>
              <w:jc w:val="center"/>
            </w:trPr>
            <w:tc>
              <w:tcPr>
                <w:tcW w:w="5000" w:type="pct"/>
              </w:tcPr>
              <w:p w14:paraId="61BF9951" w14:textId="77777777" w:rsidR="00B93B65" w:rsidRPr="002F7BCB" w:rsidRDefault="00B93B65" w:rsidP="00B93B65">
                <w:pPr>
                  <w:pStyle w:val="NoSpacing"/>
                  <w:jc w:val="center"/>
                  <w:rPr>
                    <w:rFonts w:asciiTheme="majorHAnsi" w:eastAsiaTheme="majorEastAsia" w:hAnsiTheme="majorHAnsi" w:cstheme="majorBidi"/>
                    <w:caps/>
                    <w:lang w:val="en-GB"/>
                  </w:rPr>
                </w:pPr>
                <w:r w:rsidRPr="002F7BCB">
                  <w:rPr>
                    <w:b/>
                    <w:noProof/>
                    <w:sz w:val="32"/>
                    <w:szCs w:val="32"/>
                    <w:lang w:val="en-AU" w:eastAsia="en-AU"/>
                  </w:rPr>
                  <w:drawing>
                    <wp:anchor distT="0" distB="0" distL="114300" distR="114300" simplePos="0" relativeHeight="251659264" behindDoc="1" locked="0" layoutInCell="1" allowOverlap="1" wp14:anchorId="506EDAB8" wp14:editId="47C997B7">
                      <wp:simplePos x="0" y="0"/>
                      <wp:positionH relativeFrom="column">
                        <wp:posOffset>1209675</wp:posOffset>
                      </wp:positionH>
                      <wp:positionV relativeFrom="paragraph">
                        <wp:posOffset>534035</wp:posOffset>
                      </wp:positionV>
                      <wp:extent cx="3393440" cy="1362075"/>
                      <wp:effectExtent l="0" t="0" r="0" b="9525"/>
                      <wp:wrapTight wrapText="bothSides">
                        <wp:wrapPolygon edited="0">
                          <wp:start x="10186" y="0"/>
                          <wp:lineTo x="9579" y="906"/>
                          <wp:lineTo x="7882" y="4531"/>
                          <wp:lineTo x="7033" y="9365"/>
                          <wp:lineTo x="121" y="12990"/>
                          <wp:lineTo x="0" y="18428"/>
                          <wp:lineTo x="5214" y="19636"/>
                          <wp:lineTo x="5214" y="20845"/>
                          <wp:lineTo x="9701" y="21449"/>
                          <wp:lineTo x="12004" y="21449"/>
                          <wp:lineTo x="16491" y="20845"/>
                          <wp:lineTo x="16370" y="19636"/>
                          <wp:lineTo x="21463" y="18428"/>
                          <wp:lineTo x="21463" y="15105"/>
                          <wp:lineTo x="21220" y="13292"/>
                          <wp:lineTo x="14308" y="9667"/>
                          <wp:lineTo x="13581" y="5740"/>
                          <wp:lineTo x="13460" y="4531"/>
                          <wp:lineTo x="11762" y="906"/>
                          <wp:lineTo x="11034" y="0"/>
                          <wp:lineTo x="1018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nt-orange-full-titl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93440" cy="1362075"/>
                              </a:xfrm>
                              <a:prstGeom prst="rect">
                                <a:avLst/>
                              </a:prstGeom>
                            </pic:spPr>
                          </pic:pic>
                        </a:graphicData>
                      </a:graphic>
                      <wp14:sizeRelH relativeFrom="page">
                        <wp14:pctWidth>0</wp14:pctWidth>
                      </wp14:sizeRelH>
                      <wp14:sizeRelV relativeFrom="page">
                        <wp14:pctHeight>0</wp14:pctHeight>
                      </wp14:sizeRelV>
                    </wp:anchor>
                  </w:drawing>
                </w:r>
              </w:p>
            </w:tc>
          </w:tr>
          <w:tr w:rsidR="00B93B65" w:rsidRPr="002F7BCB" w14:paraId="0B403A96" w14:textId="77777777" w:rsidTr="00377AFE">
            <w:trPr>
              <w:trHeight w:val="3783"/>
              <w:jc w:val="center"/>
            </w:trPr>
            <w:tc>
              <w:tcPr>
                <w:tcW w:w="5000" w:type="pct"/>
                <w:tcBorders>
                  <w:bottom w:val="single" w:sz="4" w:space="0" w:color="4F81BD" w:themeColor="accent1"/>
                </w:tcBorders>
                <w:vAlign w:val="center"/>
              </w:tcPr>
              <w:p w14:paraId="08447105" w14:textId="77777777" w:rsidR="00377AFE" w:rsidRPr="002F7BCB" w:rsidRDefault="00377AFE">
                <w:pPr>
                  <w:pStyle w:val="NoSpacing"/>
                  <w:jc w:val="center"/>
                  <w:rPr>
                    <w:rFonts w:ascii="Calibri" w:eastAsia="Calibri" w:hAnsi="Calibri" w:cs="Times New Roman"/>
                    <w:b/>
                    <w:sz w:val="72"/>
                    <w:szCs w:val="72"/>
                    <w:lang w:val="en-GB"/>
                  </w:rPr>
                </w:pPr>
              </w:p>
              <w:p w14:paraId="44B07414" w14:textId="77777777" w:rsidR="00377AFE" w:rsidRPr="002F7BCB" w:rsidRDefault="00377AFE">
                <w:pPr>
                  <w:pStyle w:val="NoSpacing"/>
                  <w:jc w:val="center"/>
                  <w:rPr>
                    <w:rFonts w:ascii="Calibri" w:eastAsia="Calibri" w:hAnsi="Calibri" w:cs="Times New Roman"/>
                    <w:b/>
                    <w:sz w:val="72"/>
                    <w:szCs w:val="72"/>
                    <w:lang w:val="en-GB"/>
                  </w:rPr>
                </w:pPr>
              </w:p>
              <w:p w14:paraId="40620400" w14:textId="77777777" w:rsidR="00B93B65" w:rsidRPr="002F7BCB" w:rsidRDefault="00377AFE">
                <w:pPr>
                  <w:pStyle w:val="NoSpacing"/>
                  <w:jc w:val="center"/>
                  <w:rPr>
                    <w:rFonts w:asciiTheme="majorHAnsi" w:eastAsiaTheme="majorEastAsia" w:hAnsiTheme="majorHAnsi" w:cstheme="majorBidi"/>
                    <w:sz w:val="80"/>
                    <w:szCs w:val="80"/>
                    <w:lang w:val="en-GB"/>
                  </w:rPr>
                </w:pPr>
                <w:r w:rsidRPr="002F7BCB">
                  <w:rPr>
                    <w:rFonts w:ascii="Calibri" w:eastAsia="Calibri" w:hAnsi="Calibri" w:cs="Times New Roman"/>
                    <w:b/>
                    <w:sz w:val="72"/>
                    <w:szCs w:val="72"/>
                    <w:lang w:val="en-GB"/>
                  </w:rPr>
                  <w:t>SAMOA’S FINANCIAL INCLUSION REPORT</w:t>
                </w:r>
              </w:p>
            </w:tc>
          </w:tr>
          <w:tr w:rsidR="00B93B65" w:rsidRPr="002F7BCB" w14:paraId="368217C8" w14:textId="77777777" w:rsidTr="00377AFE">
            <w:trPr>
              <w:trHeight w:val="846"/>
              <w:jc w:val="center"/>
            </w:trPr>
            <w:tc>
              <w:tcPr>
                <w:tcW w:w="5000" w:type="pct"/>
                <w:tcBorders>
                  <w:top w:val="single" w:sz="4" w:space="0" w:color="4F81BD" w:themeColor="accent1"/>
                </w:tcBorders>
                <w:vAlign w:val="center"/>
              </w:tcPr>
              <w:p w14:paraId="3A144404" w14:textId="77777777" w:rsidR="00B93B65" w:rsidRPr="002F7BCB" w:rsidRDefault="00B93B65" w:rsidP="00377AFE">
                <w:pPr>
                  <w:pStyle w:val="NoSpacing"/>
                  <w:rPr>
                    <w:rFonts w:asciiTheme="majorHAnsi" w:eastAsiaTheme="majorEastAsia" w:hAnsiTheme="majorHAnsi" w:cstheme="majorBidi"/>
                    <w:sz w:val="44"/>
                    <w:szCs w:val="44"/>
                    <w:lang w:val="en-GB"/>
                  </w:rPr>
                </w:pPr>
              </w:p>
            </w:tc>
          </w:tr>
          <w:tr w:rsidR="00B93B65" w:rsidRPr="002F7BCB" w14:paraId="560D2664" w14:textId="77777777">
            <w:trPr>
              <w:trHeight w:val="360"/>
              <w:jc w:val="center"/>
            </w:trPr>
            <w:tc>
              <w:tcPr>
                <w:tcW w:w="5000" w:type="pct"/>
                <w:vAlign w:val="center"/>
              </w:tcPr>
              <w:p w14:paraId="37D734B0" w14:textId="4C3C86B2" w:rsidR="00B93B65" w:rsidRPr="002F7BCB" w:rsidRDefault="008F5E7D" w:rsidP="00377AFE">
                <w:pPr>
                  <w:pStyle w:val="NoSpacing"/>
                  <w:jc w:val="center"/>
                  <w:rPr>
                    <w:lang w:val="en-GB"/>
                  </w:rPr>
                </w:pPr>
                <w:r>
                  <w:rPr>
                    <w:rFonts w:asciiTheme="majorHAnsi" w:eastAsiaTheme="majorEastAsia" w:hAnsiTheme="majorHAnsi" w:cstheme="majorBidi"/>
                    <w:sz w:val="44"/>
                    <w:szCs w:val="44"/>
                    <w:lang w:val="en-GB"/>
                  </w:rPr>
                  <w:t>December 2015</w:t>
                </w:r>
              </w:p>
            </w:tc>
          </w:tr>
          <w:tr w:rsidR="00B93B65" w:rsidRPr="002F7BCB" w14:paraId="39376A8C" w14:textId="77777777">
            <w:trPr>
              <w:trHeight w:val="360"/>
              <w:jc w:val="center"/>
            </w:trPr>
            <w:tc>
              <w:tcPr>
                <w:tcW w:w="5000" w:type="pct"/>
                <w:vAlign w:val="center"/>
              </w:tcPr>
              <w:p w14:paraId="5186BE17" w14:textId="77777777" w:rsidR="00B93B65" w:rsidRPr="002F7BCB" w:rsidRDefault="00B93B65" w:rsidP="00B93B65">
                <w:pPr>
                  <w:pStyle w:val="NoSpacing"/>
                  <w:jc w:val="center"/>
                  <w:rPr>
                    <w:b/>
                    <w:bCs/>
                    <w:lang w:val="en-GB"/>
                  </w:rPr>
                </w:pPr>
              </w:p>
            </w:tc>
          </w:tr>
          <w:tr w:rsidR="00B93B65" w:rsidRPr="002F7BCB" w14:paraId="66A56E98" w14:textId="77777777">
            <w:trPr>
              <w:trHeight w:val="360"/>
              <w:jc w:val="center"/>
            </w:trPr>
            <w:tc>
              <w:tcPr>
                <w:tcW w:w="5000" w:type="pct"/>
                <w:vAlign w:val="center"/>
              </w:tcPr>
              <w:p w14:paraId="1DFF4FCF" w14:textId="77777777" w:rsidR="00B93B65" w:rsidRPr="002F7BCB" w:rsidRDefault="00B93B65">
                <w:pPr>
                  <w:pStyle w:val="NoSpacing"/>
                  <w:jc w:val="center"/>
                  <w:rPr>
                    <w:b/>
                    <w:bCs/>
                    <w:lang w:val="en-GB"/>
                  </w:rPr>
                </w:pPr>
              </w:p>
            </w:tc>
          </w:tr>
        </w:tbl>
        <w:p w14:paraId="7390B879" w14:textId="77777777" w:rsidR="00B93B65" w:rsidRPr="002F7BCB" w:rsidRDefault="00B93B65"/>
        <w:p w14:paraId="1201F272" w14:textId="77777777" w:rsidR="00B93B65" w:rsidRPr="002F7BCB" w:rsidRDefault="00B93B65" w:rsidP="00B93B65">
          <w:pPr>
            <w:jc w:val="center"/>
          </w:pPr>
        </w:p>
        <w:tbl>
          <w:tblPr>
            <w:tblpPr w:leftFromText="187" w:rightFromText="187" w:horzAnchor="margin" w:tblpXSpec="center" w:tblpYSpec="bottom"/>
            <w:tblW w:w="5000" w:type="pct"/>
            <w:tblLook w:val="04A0" w:firstRow="1" w:lastRow="0" w:firstColumn="1" w:lastColumn="0" w:noHBand="0" w:noVBand="1"/>
          </w:tblPr>
          <w:tblGrid>
            <w:gridCol w:w="9242"/>
          </w:tblGrid>
          <w:tr w:rsidR="00B93B65" w:rsidRPr="002F7BCB" w14:paraId="0254A155" w14:textId="77777777">
            <w:tc>
              <w:tcPr>
                <w:tcW w:w="5000" w:type="pct"/>
              </w:tcPr>
              <w:p w14:paraId="6FBEB5E2" w14:textId="77777777" w:rsidR="00B93B65" w:rsidRPr="002F7BCB" w:rsidRDefault="00B93B65">
                <w:pPr>
                  <w:pStyle w:val="NoSpacing"/>
                  <w:rPr>
                    <w:lang w:val="en-GB"/>
                  </w:rPr>
                </w:pPr>
              </w:p>
            </w:tc>
          </w:tr>
        </w:tbl>
        <w:p w14:paraId="03BDE1AB" w14:textId="77777777" w:rsidR="00377AFE" w:rsidRPr="002F7BCB" w:rsidRDefault="00377AFE" w:rsidP="00377AFE">
          <w:pPr>
            <w:jc w:val="center"/>
            <w:rPr>
              <w:b/>
              <w:bCs/>
            </w:rPr>
          </w:pPr>
        </w:p>
        <w:p w14:paraId="268721E9" w14:textId="77777777" w:rsidR="00377AFE" w:rsidRPr="002F7BCB" w:rsidRDefault="00377AFE" w:rsidP="00377AFE">
          <w:pPr>
            <w:jc w:val="center"/>
            <w:rPr>
              <w:b/>
              <w:bCs/>
            </w:rPr>
          </w:pPr>
        </w:p>
        <w:p w14:paraId="292CA860" w14:textId="77777777" w:rsidR="00377AFE" w:rsidRPr="002F7BCB" w:rsidRDefault="00377AFE" w:rsidP="00377AFE">
          <w:pPr>
            <w:jc w:val="center"/>
            <w:rPr>
              <w:b/>
              <w:bCs/>
            </w:rPr>
          </w:pPr>
        </w:p>
        <w:p w14:paraId="31443312" w14:textId="77777777" w:rsidR="00377AFE" w:rsidRPr="002F7BCB" w:rsidRDefault="00377AFE" w:rsidP="00377AFE">
          <w:pPr>
            <w:jc w:val="center"/>
            <w:rPr>
              <w:b/>
              <w:bCs/>
            </w:rPr>
          </w:pPr>
        </w:p>
        <w:p w14:paraId="2068009C" w14:textId="77777777" w:rsidR="00377AFE" w:rsidRPr="002F7BCB" w:rsidRDefault="00377AFE" w:rsidP="00377AFE">
          <w:pPr>
            <w:jc w:val="center"/>
            <w:rPr>
              <w:b/>
              <w:bCs/>
            </w:rPr>
          </w:pPr>
        </w:p>
        <w:p w14:paraId="50EC324E" w14:textId="77777777" w:rsidR="00377AFE" w:rsidRPr="002F7BCB" w:rsidRDefault="00377AFE" w:rsidP="00377AFE">
          <w:pPr>
            <w:jc w:val="center"/>
            <w:rPr>
              <w:b/>
              <w:bCs/>
            </w:rPr>
          </w:pPr>
        </w:p>
        <w:p w14:paraId="1052C36D" w14:textId="77777777" w:rsidR="00377AFE" w:rsidRPr="002F7BCB" w:rsidRDefault="00377AFE" w:rsidP="00377AFE">
          <w:pPr>
            <w:jc w:val="center"/>
          </w:pPr>
          <w:r w:rsidRPr="002F7BCB">
            <w:rPr>
              <w:b/>
              <w:bCs/>
            </w:rPr>
            <w:t>Prepared by Financial System Development Department</w:t>
          </w:r>
        </w:p>
      </w:sdtContent>
    </w:sdt>
    <w:p w14:paraId="521FE9BD" w14:textId="77777777" w:rsidR="00F96CC9" w:rsidRPr="002F7BCB" w:rsidRDefault="00F96CC9" w:rsidP="00B93B65">
      <w:pPr>
        <w:rPr>
          <w:b/>
          <w:bCs/>
        </w:rPr>
      </w:pPr>
      <w:r w:rsidRPr="002F7BCB">
        <w:rPr>
          <w:b/>
          <w:bCs/>
          <w:sz w:val="32"/>
          <w:szCs w:val="32"/>
        </w:rPr>
        <w:lastRenderedPageBreak/>
        <w:t>Overview</w:t>
      </w:r>
    </w:p>
    <w:p w14:paraId="2D56D9E5" w14:textId="080BFA30" w:rsidR="00F96CC9" w:rsidRPr="002F7BCB" w:rsidRDefault="00F96CC9" w:rsidP="00F96CC9">
      <w:pPr>
        <w:autoSpaceDE w:val="0"/>
        <w:autoSpaceDN w:val="0"/>
        <w:adjustRightInd w:val="0"/>
        <w:spacing w:after="0" w:line="240" w:lineRule="auto"/>
      </w:pPr>
      <w:r w:rsidRPr="002F7BCB">
        <w:t xml:space="preserve">The Central Bank of Samoa (CBS) is </w:t>
      </w:r>
      <w:r w:rsidR="00B93B65" w:rsidRPr="002F7BCB">
        <w:t>mandated to promote financial inclusion and financial literacy in Samoa</w:t>
      </w:r>
      <w:r w:rsidRPr="002F7BCB">
        <w:t xml:space="preserve">.  </w:t>
      </w:r>
      <w:r w:rsidR="00B93B65" w:rsidRPr="002F7BCB">
        <w:t>With the support of</w:t>
      </w:r>
      <w:r w:rsidRPr="002F7BCB">
        <w:t xml:space="preserve"> the Pacific Island</w:t>
      </w:r>
      <w:r w:rsidR="00B93B65" w:rsidRPr="002F7BCB">
        <w:t>s Regional Initiative (PIRI) of</w:t>
      </w:r>
      <w:r w:rsidRPr="002F7BCB">
        <w:t xml:space="preserve"> the Alliance for Financial Inclusion (AFI)</w:t>
      </w:r>
      <w:r w:rsidR="00B93B65" w:rsidRPr="002F7BCB">
        <w:t xml:space="preserve"> and the Pacific Financial Inclusion Programme (PFIP)</w:t>
      </w:r>
      <w:r w:rsidRPr="002F7BCB">
        <w:t xml:space="preserve">, </w:t>
      </w:r>
      <w:r w:rsidR="00B93B65" w:rsidRPr="002F7BCB">
        <w:t xml:space="preserve">the </w:t>
      </w:r>
      <w:r w:rsidRPr="002F7BCB">
        <w:t xml:space="preserve">CBS works to </w:t>
      </w:r>
      <w:r w:rsidR="00B93B65" w:rsidRPr="002F7BCB">
        <w:t xml:space="preserve">improve many facets of the financial system so </w:t>
      </w:r>
      <w:r w:rsidR="00451CFD" w:rsidRPr="002F7BCB">
        <w:t>that it is inclusive</w:t>
      </w:r>
      <w:r w:rsidR="00A3561C" w:rsidRPr="002F7BCB">
        <w:rPr>
          <w:rStyle w:val="FootnoteReference"/>
          <w:rFonts w:eastAsiaTheme="majorEastAsia"/>
        </w:rPr>
        <w:footnoteReference w:id="1"/>
      </w:r>
      <w:r w:rsidRPr="002F7BCB">
        <w:rPr>
          <w:rFonts w:eastAsiaTheme="majorEastAsia"/>
        </w:rPr>
        <w:t>.</w:t>
      </w:r>
      <w:r w:rsidR="00451CFD" w:rsidRPr="002F7BCB">
        <w:t xml:space="preserve"> One area that is of great importance is financial inclusion data</w:t>
      </w:r>
      <w:r w:rsidR="0001007A">
        <w:t xml:space="preserve"> so</w:t>
      </w:r>
      <w:r w:rsidR="00451CFD" w:rsidRPr="002F7BCB">
        <w:t xml:space="preserve"> that </w:t>
      </w:r>
      <w:r w:rsidRPr="002F7BCB">
        <w:t xml:space="preserve">policy </w:t>
      </w:r>
      <w:r w:rsidR="003E7746" w:rsidRPr="002F7BCB">
        <w:t>designs are based on evidence</w:t>
      </w:r>
      <w:r w:rsidRPr="002F7BCB">
        <w:t xml:space="preserve">, </w:t>
      </w:r>
      <w:r w:rsidR="00451CFD" w:rsidRPr="002F7BCB">
        <w:t xml:space="preserve">from </w:t>
      </w:r>
      <w:r w:rsidRPr="002F7BCB">
        <w:t>set</w:t>
      </w:r>
      <w:r w:rsidR="00451CFD" w:rsidRPr="002F7BCB">
        <w:t>ting targets, identify</w:t>
      </w:r>
      <w:r w:rsidR="009028D5" w:rsidRPr="002F7BCB">
        <w:t>ing</w:t>
      </w:r>
      <w:r w:rsidRPr="002F7BCB">
        <w:t xml:space="preserve"> barriers</w:t>
      </w:r>
      <w:r w:rsidR="003E7746" w:rsidRPr="002F7BCB">
        <w:t>,</w:t>
      </w:r>
      <w:r w:rsidR="00451CFD" w:rsidRPr="002F7BCB">
        <w:t xml:space="preserve"> tracking national progress</w:t>
      </w:r>
      <w:r w:rsidRPr="002F7BCB">
        <w:t xml:space="preserve"> and assess</w:t>
      </w:r>
      <w:r w:rsidR="003E7746" w:rsidRPr="002F7BCB">
        <w:t>ing</w:t>
      </w:r>
      <w:r w:rsidRPr="002F7BCB">
        <w:t xml:space="preserve"> the effec</w:t>
      </w:r>
      <w:r w:rsidR="003E7746" w:rsidRPr="002F7BCB">
        <w:t>tiveness of the</w:t>
      </w:r>
      <w:r w:rsidR="009028D5" w:rsidRPr="002F7BCB">
        <w:t xml:space="preserve"> policy </w:t>
      </w:r>
      <w:r w:rsidR="003E7746" w:rsidRPr="002F7BCB">
        <w:t>decisions.</w:t>
      </w:r>
    </w:p>
    <w:p w14:paraId="77F1DEAF" w14:textId="77777777" w:rsidR="00F96CC9" w:rsidRPr="002F7BCB" w:rsidRDefault="00F96CC9" w:rsidP="00F96CC9">
      <w:pPr>
        <w:autoSpaceDE w:val="0"/>
        <w:autoSpaceDN w:val="0"/>
        <w:adjustRightInd w:val="0"/>
        <w:spacing w:after="0" w:line="240" w:lineRule="auto"/>
      </w:pPr>
    </w:p>
    <w:p w14:paraId="14F8DE22" w14:textId="355728A1" w:rsidR="00F96CC9" w:rsidRPr="002F7BCB" w:rsidRDefault="00F96CC9" w:rsidP="00F96CC9">
      <w:pPr>
        <w:autoSpaceDE w:val="0"/>
        <w:autoSpaceDN w:val="0"/>
        <w:adjustRightInd w:val="0"/>
        <w:spacing w:after="0" w:line="240" w:lineRule="auto"/>
      </w:pPr>
      <w:r w:rsidRPr="002F7BCB">
        <w:t xml:space="preserve">The Central </w:t>
      </w:r>
      <w:r w:rsidR="003063F3">
        <w:t>Bank of Samoa presents its second</w:t>
      </w:r>
      <w:r w:rsidRPr="002F7BCB">
        <w:t xml:space="preserve"> semi-annual bulletin on</w:t>
      </w:r>
      <w:r w:rsidR="00CF5D61" w:rsidRPr="002F7BCB">
        <w:t xml:space="preserve"> financial inclusion data.</w:t>
      </w:r>
    </w:p>
    <w:p w14:paraId="2A6E69E3" w14:textId="77777777" w:rsidR="00F96CC9" w:rsidRPr="002F7BCB" w:rsidRDefault="00F96CC9" w:rsidP="00F96CC9">
      <w:pPr>
        <w:autoSpaceDE w:val="0"/>
        <w:autoSpaceDN w:val="0"/>
        <w:adjustRightInd w:val="0"/>
        <w:spacing w:after="0" w:line="240" w:lineRule="auto"/>
        <w:rPr>
          <w:b/>
          <w:sz w:val="32"/>
          <w:szCs w:val="32"/>
        </w:rPr>
      </w:pPr>
    </w:p>
    <w:p w14:paraId="68E0F165" w14:textId="77777777" w:rsidR="00F96CC9" w:rsidRPr="002F7BCB" w:rsidRDefault="00F96CC9" w:rsidP="00F96CC9">
      <w:pPr>
        <w:jc w:val="both"/>
        <w:rPr>
          <w:b/>
          <w:sz w:val="32"/>
          <w:szCs w:val="32"/>
        </w:rPr>
      </w:pPr>
      <w:r w:rsidRPr="002F7BCB">
        <w:rPr>
          <w:b/>
          <w:sz w:val="32"/>
          <w:szCs w:val="32"/>
        </w:rPr>
        <w:t xml:space="preserve">FINANCIAL INCLUSION INDICATORS </w:t>
      </w:r>
    </w:p>
    <w:p w14:paraId="189997EB" w14:textId="0875BF60" w:rsidR="00F96CC9" w:rsidRPr="002F7BCB" w:rsidRDefault="00CF5D61" w:rsidP="00F96CC9">
      <w:pPr>
        <w:autoSpaceDE w:val="0"/>
        <w:autoSpaceDN w:val="0"/>
        <w:adjustRightInd w:val="0"/>
        <w:spacing w:after="0" w:line="240" w:lineRule="auto"/>
      </w:pPr>
      <w:r w:rsidRPr="002F7BCB">
        <w:t>T</w:t>
      </w:r>
      <w:r w:rsidR="00F96CC9" w:rsidRPr="002F7BCB">
        <w:t>he Central Bank of Samoa has adapted the</w:t>
      </w:r>
      <w:r w:rsidRPr="002F7BCB">
        <w:t xml:space="preserve"> PIRI Financial </w:t>
      </w:r>
      <w:r w:rsidR="009028D5" w:rsidRPr="002F7BCB">
        <w:t>Inclusion Measurement Framework</w:t>
      </w:r>
      <w:r w:rsidR="00F96CC9" w:rsidRPr="002F7BCB">
        <w:t xml:space="preserve"> as the basis for financial inclusion measurement in the country. </w:t>
      </w:r>
      <w:r w:rsidRPr="002F7BCB">
        <w:t>The measurement framework takes the AFI Core Set</w:t>
      </w:r>
      <w:r w:rsidR="000D3228" w:rsidRPr="002F7BCB">
        <w:rPr>
          <w:rStyle w:val="FootnoteReference"/>
        </w:rPr>
        <w:footnoteReference w:id="2"/>
      </w:r>
      <w:r w:rsidRPr="002F7BCB">
        <w:t xml:space="preserve"> of Indicators as the foundation and builds into it indicators that measure the topics of policy relevance and interest to the region</w:t>
      </w:r>
      <w:r w:rsidR="00322C4A">
        <w:t xml:space="preserve"> and country specifics</w:t>
      </w:r>
      <w:r w:rsidR="009028D5" w:rsidRPr="002F7BCB">
        <w:t>. And importantly the indicators reflect member country’s Maya Declaration</w:t>
      </w:r>
      <w:r w:rsidR="000154DC" w:rsidRPr="002F7BCB">
        <w:rPr>
          <w:rStyle w:val="FootnoteReference"/>
        </w:rPr>
        <w:footnoteReference w:id="3"/>
      </w:r>
      <w:r w:rsidR="009028D5" w:rsidRPr="002F7BCB">
        <w:t xml:space="preserve"> Commitments, so that countries can measure progress against their commitments.</w:t>
      </w:r>
    </w:p>
    <w:p w14:paraId="5765DF3F" w14:textId="77777777" w:rsidR="00F96CC9" w:rsidRPr="002F7BCB" w:rsidRDefault="00F96CC9" w:rsidP="00F96CC9">
      <w:pPr>
        <w:autoSpaceDE w:val="0"/>
        <w:autoSpaceDN w:val="0"/>
        <w:adjustRightInd w:val="0"/>
        <w:spacing w:after="0" w:line="240" w:lineRule="auto"/>
      </w:pPr>
    </w:p>
    <w:p w14:paraId="7A325BA9" w14:textId="77777777" w:rsidR="00F96CC9" w:rsidRPr="002F7BCB" w:rsidRDefault="00F96CC9" w:rsidP="00F96CC9">
      <w:pPr>
        <w:jc w:val="both"/>
        <w:rPr>
          <w:b/>
          <w:sz w:val="32"/>
          <w:szCs w:val="32"/>
        </w:rPr>
      </w:pPr>
      <w:r w:rsidRPr="002F7BCB">
        <w:rPr>
          <w:sz w:val="32"/>
          <w:szCs w:val="32"/>
        </w:rPr>
        <w:t xml:space="preserve">Key dimensions of the </w:t>
      </w:r>
      <w:r w:rsidR="009028D5" w:rsidRPr="002F7BCB">
        <w:rPr>
          <w:sz w:val="32"/>
          <w:szCs w:val="32"/>
        </w:rPr>
        <w:t>Measurement Framework</w:t>
      </w:r>
      <w:r w:rsidRPr="002F7BCB">
        <w:rPr>
          <w:sz w:val="32"/>
          <w:szCs w:val="32"/>
        </w:rPr>
        <w:t>: Access and Usage</w:t>
      </w:r>
    </w:p>
    <w:p w14:paraId="78F3522F" w14:textId="283B8B69" w:rsidR="00F96CC9" w:rsidRPr="002F7BCB" w:rsidRDefault="00F96CC9" w:rsidP="00F96CC9">
      <w:pPr>
        <w:autoSpaceDE w:val="0"/>
        <w:autoSpaceDN w:val="0"/>
        <w:adjustRightInd w:val="0"/>
        <w:spacing w:after="0" w:line="240" w:lineRule="auto"/>
      </w:pPr>
      <w:r w:rsidRPr="002F7BCB">
        <w:t xml:space="preserve">The </w:t>
      </w:r>
      <w:r w:rsidR="00DE7910" w:rsidRPr="002F7BCB">
        <w:t xml:space="preserve">PIRI </w:t>
      </w:r>
      <w:r w:rsidRPr="002F7BCB">
        <w:t>core set of financial inclusion indicators addresses the three basic dimensions of financial inclusion: access, usage and quality of financial services. “Access” refers to the ability to use the services and products offered by formal financial institutions. “Usage” refers to the depth or extent of financial services and product use. Determining usage requires gathering details about the regularity, frequency and duration of use over t</w:t>
      </w:r>
      <w:r w:rsidR="006D4322" w:rsidRPr="002F7BCB">
        <w:t xml:space="preserve">ime. Data on these dimensions is </w:t>
      </w:r>
      <w:r w:rsidRPr="002F7BCB">
        <w:t>usually obtained through information provided by local commercial banks and other financial institutions, the supply side.</w:t>
      </w:r>
      <w:r w:rsidR="00DE7910" w:rsidRPr="002F7BCB">
        <w:t xml:space="preserve"> Some elements of usage are gathered from demand side surveys</w:t>
      </w:r>
      <w:r w:rsidR="00322C4A">
        <w:t xml:space="preserve"> too</w:t>
      </w:r>
      <w:r w:rsidR="00DE7910" w:rsidRPr="002F7BCB">
        <w:t>.</w:t>
      </w:r>
    </w:p>
    <w:p w14:paraId="29A4D594" w14:textId="77777777" w:rsidR="00F96CC9" w:rsidRPr="002F7BCB" w:rsidRDefault="00F96CC9" w:rsidP="00F96CC9">
      <w:pPr>
        <w:autoSpaceDE w:val="0"/>
        <w:autoSpaceDN w:val="0"/>
        <w:adjustRightInd w:val="0"/>
        <w:spacing w:after="0" w:line="240" w:lineRule="auto"/>
      </w:pPr>
    </w:p>
    <w:p w14:paraId="33A25606" w14:textId="77777777" w:rsidR="00F96CC9" w:rsidRPr="002F7BCB" w:rsidRDefault="00F96CC9" w:rsidP="00F96CC9">
      <w:pPr>
        <w:autoSpaceDE w:val="0"/>
        <w:autoSpaceDN w:val="0"/>
        <w:adjustRightInd w:val="0"/>
        <w:spacing w:after="0" w:line="240" w:lineRule="auto"/>
      </w:pPr>
      <w:r w:rsidRPr="002F7BCB">
        <w:t>The quality dimension, while important, is a more complex topic both conceptually and in terms of measurement, typically requiring demand-side surveys and the use of qualitative indicators. The Central Bank has yet to track and monitor the qualitative use of financial services.</w:t>
      </w:r>
    </w:p>
    <w:p w14:paraId="75CAF40D" w14:textId="77777777" w:rsidR="00F96CC9" w:rsidRPr="002F7BCB" w:rsidRDefault="00F96CC9" w:rsidP="00F96CC9">
      <w:pPr>
        <w:autoSpaceDE w:val="0"/>
        <w:autoSpaceDN w:val="0"/>
        <w:adjustRightInd w:val="0"/>
        <w:spacing w:after="0" w:line="240" w:lineRule="auto"/>
      </w:pPr>
    </w:p>
    <w:p w14:paraId="060188B1" w14:textId="7CCF3117" w:rsidR="00F96CC9" w:rsidRPr="002F7BCB" w:rsidRDefault="00DE7910" w:rsidP="00F96CC9">
      <w:pPr>
        <w:autoSpaceDE w:val="0"/>
        <w:autoSpaceDN w:val="0"/>
        <w:adjustRightInd w:val="0"/>
        <w:spacing w:after="0" w:line="240" w:lineRule="auto"/>
      </w:pPr>
      <w:r w:rsidRPr="002F7BCB">
        <w:t xml:space="preserve">The indicators </w:t>
      </w:r>
      <w:r w:rsidR="00D16412">
        <w:t>as of December</w:t>
      </w:r>
      <w:r w:rsidR="00F96CC9" w:rsidRPr="002F7BCB">
        <w:t xml:space="preserve"> </w:t>
      </w:r>
      <w:r w:rsidRPr="002F7BCB">
        <w:t xml:space="preserve">2015 are shown in Table 1 below. </w:t>
      </w:r>
      <w:r w:rsidR="002129AC" w:rsidRPr="002F7BCB">
        <w:t xml:space="preserve">Note that this is not the complete measurement framework rather the only </w:t>
      </w:r>
      <w:r w:rsidR="00322C4A">
        <w:t>available</w:t>
      </w:r>
      <w:r w:rsidR="00322C4A" w:rsidRPr="002F7BCB">
        <w:t xml:space="preserve"> indicators</w:t>
      </w:r>
      <w:r w:rsidR="00322C4A">
        <w:t xml:space="preserve"> </w:t>
      </w:r>
      <w:r w:rsidR="002129AC" w:rsidRPr="002F7BCB">
        <w:t>that can be informed to date from supply and demand side surveys</w:t>
      </w:r>
      <w:r w:rsidRPr="002F7BCB">
        <w:t>.</w:t>
      </w:r>
    </w:p>
    <w:p w14:paraId="03E5AC6C" w14:textId="77777777" w:rsidR="00122613" w:rsidRPr="002F7BCB" w:rsidRDefault="00122613" w:rsidP="00F96CC9">
      <w:pPr>
        <w:rPr>
          <w:b/>
          <w:i/>
          <w:u w:val="single"/>
        </w:rPr>
      </w:pPr>
    </w:p>
    <w:p w14:paraId="7590B28D" w14:textId="1DCBB3FA" w:rsidR="008E5AAD" w:rsidRPr="008E5AAD" w:rsidRDefault="0065277F" w:rsidP="008E5AAD">
      <w:pPr>
        <w:jc w:val="both"/>
        <w:rPr>
          <w:b/>
          <w:sz w:val="32"/>
          <w:szCs w:val="32"/>
        </w:rPr>
      </w:pPr>
      <w:r w:rsidRPr="008E5AAD">
        <w:rPr>
          <w:b/>
          <w:sz w:val="32"/>
          <w:szCs w:val="32"/>
        </w:rPr>
        <w:lastRenderedPageBreak/>
        <w:t xml:space="preserve">Table 1: </w:t>
      </w:r>
      <w:r w:rsidR="00F96CC9" w:rsidRPr="008E5AAD">
        <w:rPr>
          <w:b/>
          <w:sz w:val="32"/>
          <w:szCs w:val="32"/>
        </w:rPr>
        <w:t>Finan</w:t>
      </w:r>
      <w:r w:rsidR="00D16412" w:rsidRPr="008E5AAD">
        <w:rPr>
          <w:b/>
          <w:sz w:val="32"/>
          <w:szCs w:val="32"/>
        </w:rPr>
        <w:t xml:space="preserve">cial Inclusion Indicators, December </w:t>
      </w:r>
      <w:r w:rsidR="00F96CC9" w:rsidRPr="008E5AAD">
        <w:rPr>
          <w:b/>
          <w:sz w:val="32"/>
          <w:szCs w:val="32"/>
        </w:rPr>
        <w:t>2015</w:t>
      </w:r>
    </w:p>
    <w:tbl>
      <w:tblPr>
        <w:tblStyle w:val="MediumShading2-Accent4"/>
        <w:tblW w:w="9747" w:type="dxa"/>
        <w:tblLayout w:type="fixed"/>
        <w:tblLook w:val="04A0" w:firstRow="1" w:lastRow="0" w:firstColumn="1" w:lastColumn="0" w:noHBand="0" w:noVBand="1"/>
      </w:tblPr>
      <w:tblGrid>
        <w:gridCol w:w="1854"/>
        <w:gridCol w:w="1854"/>
        <w:gridCol w:w="1530"/>
        <w:gridCol w:w="1391"/>
        <w:gridCol w:w="1417"/>
        <w:gridCol w:w="1701"/>
      </w:tblGrid>
      <w:tr w:rsidR="00FA2F99" w:rsidRPr="002F7BCB" w14:paraId="1BA6AD42" w14:textId="77777777" w:rsidTr="0059224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3708" w:type="dxa"/>
            <w:gridSpan w:val="2"/>
            <w:tcBorders>
              <w:bottom w:val="single" w:sz="4" w:space="0" w:color="auto"/>
            </w:tcBorders>
            <w:shd w:val="clear" w:color="auto" w:fill="17375E"/>
            <w:hideMark/>
          </w:tcPr>
          <w:p w14:paraId="7EC22957" w14:textId="77777777" w:rsidR="00FA2F99" w:rsidRPr="002F7BCB" w:rsidRDefault="00FA2F99" w:rsidP="00FA2F99">
            <w:pPr>
              <w:rPr>
                <w:rFonts w:asciiTheme="minorHAnsi" w:hAnsiTheme="minorHAnsi"/>
                <w:color w:val="FFFFFF"/>
                <w:sz w:val="18"/>
                <w:szCs w:val="18"/>
              </w:rPr>
            </w:pPr>
            <w:r w:rsidRPr="002F7BCB">
              <w:rPr>
                <w:rFonts w:asciiTheme="minorHAnsi" w:hAnsiTheme="minorHAnsi"/>
                <w:color w:val="FFFFFF"/>
                <w:sz w:val="18"/>
                <w:szCs w:val="18"/>
              </w:rPr>
              <w:t xml:space="preserve">Indicator </w:t>
            </w:r>
          </w:p>
        </w:tc>
        <w:tc>
          <w:tcPr>
            <w:tcW w:w="1530" w:type="dxa"/>
            <w:tcBorders>
              <w:bottom w:val="single" w:sz="4" w:space="0" w:color="auto"/>
            </w:tcBorders>
            <w:shd w:val="clear" w:color="auto" w:fill="17375E"/>
            <w:noWrap/>
            <w:hideMark/>
          </w:tcPr>
          <w:p w14:paraId="79B8D960" w14:textId="3A97BE5E" w:rsidR="00FA2F99" w:rsidRPr="002F7BCB" w:rsidRDefault="0001007A" w:rsidP="0001007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18"/>
                <w:szCs w:val="18"/>
              </w:rPr>
            </w:pPr>
            <w:r>
              <w:rPr>
                <w:rFonts w:asciiTheme="minorHAnsi" w:hAnsiTheme="minorHAnsi"/>
                <w:color w:val="FFFFFF"/>
                <w:sz w:val="18"/>
                <w:szCs w:val="18"/>
              </w:rPr>
              <w:t>June 2015</w:t>
            </w:r>
          </w:p>
        </w:tc>
        <w:tc>
          <w:tcPr>
            <w:tcW w:w="1391" w:type="dxa"/>
            <w:tcBorders>
              <w:bottom w:val="single" w:sz="4" w:space="0" w:color="auto"/>
            </w:tcBorders>
            <w:shd w:val="clear" w:color="auto" w:fill="17375E"/>
            <w:noWrap/>
            <w:hideMark/>
          </w:tcPr>
          <w:p w14:paraId="437831EF" w14:textId="2C4027BD" w:rsidR="00FA2F99" w:rsidRPr="002F7BCB" w:rsidRDefault="00223E81" w:rsidP="0001007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18"/>
                <w:szCs w:val="18"/>
              </w:rPr>
            </w:pPr>
            <w:r>
              <w:rPr>
                <w:rFonts w:asciiTheme="minorHAnsi" w:hAnsiTheme="minorHAnsi"/>
                <w:color w:val="FFFFFF"/>
                <w:sz w:val="18"/>
                <w:szCs w:val="18"/>
              </w:rPr>
              <w:t>December</w:t>
            </w:r>
            <w:r w:rsidR="00FA2F99" w:rsidRPr="002F7BCB">
              <w:rPr>
                <w:rFonts w:asciiTheme="minorHAnsi" w:hAnsiTheme="minorHAnsi"/>
                <w:color w:val="FFFFFF"/>
                <w:sz w:val="18"/>
                <w:szCs w:val="18"/>
              </w:rPr>
              <w:t xml:space="preserve"> 2015</w:t>
            </w:r>
          </w:p>
        </w:tc>
        <w:tc>
          <w:tcPr>
            <w:tcW w:w="1417" w:type="dxa"/>
            <w:tcBorders>
              <w:bottom w:val="single" w:sz="4" w:space="0" w:color="auto"/>
            </w:tcBorders>
            <w:shd w:val="clear" w:color="auto" w:fill="17375E"/>
            <w:noWrap/>
            <w:hideMark/>
          </w:tcPr>
          <w:p w14:paraId="7520739D" w14:textId="0222854F" w:rsidR="00FA2F99" w:rsidRPr="002F7BCB" w:rsidRDefault="007E6F6E" w:rsidP="0001007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18"/>
                <w:szCs w:val="18"/>
              </w:rPr>
            </w:pPr>
            <w:r>
              <w:rPr>
                <w:rFonts w:asciiTheme="minorHAnsi" w:hAnsiTheme="minorHAnsi"/>
                <w:color w:val="FFFFFF"/>
                <w:sz w:val="18"/>
                <w:szCs w:val="18"/>
              </w:rPr>
              <w:t>Informed by DSS</w:t>
            </w:r>
            <w:r>
              <w:rPr>
                <w:rStyle w:val="FootnoteReference"/>
                <w:rFonts w:asciiTheme="minorHAnsi" w:hAnsiTheme="minorHAnsi"/>
                <w:color w:val="FFFFFF"/>
                <w:sz w:val="18"/>
                <w:szCs w:val="18"/>
              </w:rPr>
              <w:footnoteReference w:id="4"/>
            </w:r>
          </w:p>
        </w:tc>
        <w:tc>
          <w:tcPr>
            <w:tcW w:w="1701" w:type="dxa"/>
            <w:tcBorders>
              <w:bottom w:val="single" w:sz="4" w:space="0" w:color="auto"/>
            </w:tcBorders>
            <w:shd w:val="clear" w:color="auto" w:fill="17375E"/>
            <w:noWrap/>
            <w:hideMark/>
          </w:tcPr>
          <w:p w14:paraId="79004D69" w14:textId="393F28C1" w:rsidR="00FA2F99" w:rsidRPr="002F7BCB" w:rsidRDefault="006639B2" w:rsidP="0001007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18"/>
                <w:szCs w:val="18"/>
              </w:rPr>
            </w:pPr>
            <w:r>
              <w:rPr>
                <w:rFonts w:asciiTheme="minorHAnsi" w:hAnsiTheme="minorHAnsi"/>
                <w:color w:val="FFFFFF"/>
                <w:sz w:val="18"/>
                <w:szCs w:val="18"/>
              </w:rPr>
              <w:t xml:space="preserve">Framework </w:t>
            </w:r>
            <w:r w:rsidR="00FA2F99" w:rsidRPr="002F7BCB">
              <w:rPr>
                <w:rFonts w:asciiTheme="minorHAnsi" w:hAnsiTheme="minorHAnsi"/>
                <w:color w:val="FFFFFF"/>
                <w:sz w:val="18"/>
                <w:szCs w:val="18"/>
              </w:rPr>
              <w:t>Indicator</w:t>
            </w:r>
          </w:p>
        </w:tc>
      </w:tr>
      <w:tr w:rsidR="00FA2F99" w:rsidRPr="002F7BCB" w14:paraId="51554029" w14:textId="77777777" w:rsidTr="00DB3FD4">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3708"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6451770B" w14:textId="78A45496" w:rsidR="00FA2F99" w:rsidRPr="002F7BCB" w:rsidRDefault="007E6F6E" w:rsidP="00FA2F99">
            <w:pPr>
              <w:rPr>
                <w:rFonts w:asciiTheme="minorHAnsi" w:hAnsiTheme="minorHAnsi"/>
                <w:color w:val="000000"/>
                <w:sz w:val="18"/>
                <w:szCs w:val="18"/>
              </w:rPr>
            </w:pPr>
            <w:r>
              <w:rPr>
                <w:rFonts w:asciiTheme="minorHAnsi" w:hAnsiTheme="minorHAnsi"/>
                <w:color w:val="000000"/>
                <w:sz w:val="18"/>
                <w:szCs w:val="18"/>
              </w:rPr>
              <w:t>Adult population</w:t>
            </w:r>
            <w:r>
              <w:rPr>
                <w:rStyle w:val="FootnoteReference"/>
                <w:rFonts w:asciiTheme="minorHAnsi" w:hAnsiTheme="minorHAnsi"/>
                <w:color w:val="000000"/>
                <w:sz w:val="18"/>
                <w:szCs w:val="18"/>
              </w:rPr>
              <w:footnoteReference w:id="5"/>
            </w:r>
            <w:r w:rsidR="00FA2F99" w:rsidRPr="002F7BCB">
              <w:rPr>
                <w:rFonts w:asciiTheme="minorHAnsi" w:hAnsiTheme="minorHAnsi"/>
                <w:color w:val="000000"/>
                <w:sz w:val="18"/>
                <w:szCs w:val="18"/>
              </w:rPr>
              <w:t xml:space="preserve"> </w:t>
            </w:r>
          </w:p>
        </w:tc>
        <w:tc>
          <w:tcPr>
            <w:tcW w:w="1530" w:type="dxa"/>
            <w:tcBorders>
              <w:top w:val="single" w:sz="4" w:space="0" w:color="auto"/>
              <w:left w:val="single" w:sz="4" w:space="0" w:color="auto"/>
              <w:bottom w:val="single" w:sz="4" w:space="0" w:color="auto"/>
              <w:right w:val="single" w:sz="4" w:space="0" w:color="auto"/>
            </w:tcBorders>
            <w:noWrap/>
            <w:hideMark/>
          </w:tcPr>
          <w:p w14:paraId="2450D86F" w14:textId="44DF49F6" w:rsidR="00FA2F99" w:rsidRPr="002F7BCB" w:rsidRDefault="00FA2F99" w:rsidP="00AC521C">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 xml:space="preserve">                 </w:t>
            </w:r>
            <w:r w:rsidR="0001007A">
              <w:rPr>
                <w:rFonts w:asciiTheme="minorHAnsi" w:hAnsiTheme="minorHAnsi"/>
                <w:color w:val="000000"/>
                <w:sz w:val="18"/>
                <w:szCs w:val="18"/>
              </w:rPr>
              <w:t>119532</w:t>
            </w:r>
            <w:r w:rsidRPr="002F7BCB">
              <w:rPr>
                <w:rFonts w:asciiTheme="minorHAnsi" w:hAnsiTheme="minorHAnsi"/>
                <w:color w:val="000000"/>
                <w:sz w:val="18"/>
                <w:szCs w:val="18"/>
              </w:rPr>
              <w:t xml:space="preserve"> </w:t>
            </w:r>
          </w:p>
        </w:tc>
        <w:tc>
          <w:tcPr>
            <w:tcW w:w="1391" w:type="dxa"/>
            <w:tcBorders>
              <w:top w:val="single" w:sz="4" w:space="0" w:color="auto"/>
              <w:left w:val="single" w:sz="4" w:space="0" w:color="auto"/>
              <w:bottom w:val="single" w:sz="4" w:space="0" w:color="auto"/>
              <w:right w:val="single" w:sz="4" w:space="0" w:color="auto"/>
            </w:tcBorders>
            <w:noWrap/>
            <w:hideMark/>
          </w:tcPr>
          <w:p w14:paraId="4C8BE254" w14:textId="5B91C545" w:rsidR="00FA2F99" w:rsidRPr="002F7BCB" w:rsidRDefault="00FA2F99" w:rsidP="0033719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 xml:space="preserve">              </w:t>
            </w:r>
            <w:r w:rsidR="00337196">
              <w:rPr>
                <w:rFonts w:asciiTheme="minorHAnsi" w:hAnsiTheme="minorHAnsi"/>
                <w:color w:val="000000"/>
                <w:sz w:val="18"/>
                <w:szCs w:val="18"/>
              </w:rPr>
              <w:t>119,532</w:t>
            </w:r>
            <w:r w:rsidRPr="002F7BCB">
              <w:rPr>
                <w:rFonts w:asciiTheme="minorHAnsi" w:hAnsiTheme="minorHAnsi"/>
                <w:color w:val="000000"/>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noWrap/>
            <w:hideMark/>
          </w:tcPr>
          <w:p w14:paraId="2D769FB6" w14:textId="77777777" w:rsidR="00FA2F99" w:rsidRPr="002F7BCB" w:rsidRDefault="00FA2F99" w:rsidP="00FA2F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noWrap/>
            <w:hideMark/>
          </w:tcPr>
          <w:p w14:paraId="3AD9D1E0" w14:textId="77777777" w:rsidR="00FA2F99" w:rsidRPr="002F7BCB" w:rsidRDefault="00FA2F99" w:rsidP="00FA2F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 xml:space="preserve">                          </w:t>
            </w:r>
          </w:p>
        </w:tc>
      </w:tr>
      <w:tr w:rsidR="00FA2F99" w:rsidRPr="002F7BCB" w14:paraId="48636409" w14:textId="77777777" w:rsidTr="00DB3FD4">
        <w:trPr>
          <w:trHeight w:val="337"/>
        </w:trPr>
        <w:tc>
          <w:tcPr>
            <w:cnfStyle w:val="001000000000" w:firstRow="0" w:lastRow="0" w:firstColumn="1" w:lastColumn="0" w:oddVBand="0" w:evenVBand="0" w:oddHBand="0" w:evenHBand="0" w:firstRowFirstColumn="0" w:firstRowLastColumn="0" w:lastRowFirstColumn="0" w:lastRowLastColumn="0"/>
            <w:tcW w:w="3708"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4E8B512A" w14:textId="77777777" w:rsidR="00FA2F99" w:rsidRPr="002F7BCB" w:rsidRDefault="00FA2F99" w:rsidP="00FA2F99">
            <w:pPr>
              <w:rPr>
                <w:rFonts w:asciiTheme="minorHAnsi" w:hAnsiTheme="minorHAnsi"/>
                <w:color w:val="000000"/>
                <w:sz w:val="18"/>
                <w:szCs w:val="18"/>
              </w:rPr>
            </w:pPr>
            <w:r w:rsidRPr="002F7BCB">
              <w:rPr>
                <w:rFonts w:asciiTheme="minorHAnsi" w:hAnsiTheme="minorHAnsi"/>
                <w:color w:val="000000"/>
                <w:sz w:val="18"/>
                <w:szCs w:val="18"/>
              </w:rPr>
              <w:t>Land area in square kilometres</w:t>
            </w:r>
          </w:p>
        </w:tc>
        <w:tc>
          <w:tcPr>
            <w:tcW w:w="1530" w:type="dxa"/>
            <w:tcBorders>
              <w:top w:val="single" w:sz="4" w:space="0" w:color="auto"/>
              <w:left w:val="single" w:sz="4" w:space="0" w:color="auto"/>
              <w:bottom w:val="single" w:sz="4" w:space="0" w:color="auto"/>
              <w:right w:val="single" w:sz="4" w:space="0" w:color="auto"/>
            </w:tcBorders>
            <w:noWrap/>
            <w:hideMark/>
          </w:tcPr>
          <w:p w14:paraId="51B5A427" w14:textId="3B77F0FC" w:rsidR="00FA2F99" w:rsidRPr="002F7BCB" w:rsidRDefault="00FA2F99"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 xml:space="preserve">                      2,830 </w:t>
            </w:r>
          </w:p>
        </w:tc>
        <w:tc>
          <w:tcPr>
            <w:tcW w:w="1391" w:type="dxa"/>
            <w:tcBorders>
              <w:top w:val="single" w:sz="4" w:space="0" w:color="auto"/>
              <w:left w:val="single" w:sz="4" w:space="0" w:color="auto"/>
              <w:bottom w:val="single" w:sz="4" w:space="0" w:color="auto"/>
              <w:right w:val="single" w:sz="4" w:space="0" w:color="auto"/>
            </w:tcBorders>
            <w:noWrap/>
            <w:hideMark/>
          </w:tcPr>
          <w:p w14:paraId="40675B96" w14:textId="5D2D84D2" w:rsidR="00FA2F99" w:rsidRPr="002F7BCB" w:rsidRDefault="00FA2F99"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 xml:space="preserve">                 2,830 </w:t>
            </w:r>
          </w:p>
        </w:tc>
        <w:tc>
          <w:tcPr>
            <w:tcW w:w="1417" w:type="dxa"/>
            <w:tcBorders>
              <w:top w:val="single" w:sz="4" w:space="0" w:color="auto"/>
              <w:left w:val="single" w:sz="4" w:space="0" w:color="auto"/>
              <w:bottom w:val="single" w:sz="4" w:space="0" w:color="auto"/>
              <w:right w:val="single" w:sz="4" w:space="0" w:color="auto"/>
            </w:tcBorders>
            <w:noWrap/>
            <w:hideMark/>
          </w:tcPr>
          <w:p w14:paraId="58316727" w14:textId="77777777" w:rsidR="00FA2F99" w:rsidRPr="002F7BCB" w:rsidRDefault="00FA2F99"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noWrap/>
            <w:hideMark/>
          </w:tcPr>
          <w:p w14:paraId="7A4F1EF4" w14:textId="77777777" w:rsidR="00FA2F99" w:rsidRPr="002F7BCB" w:rsidRDefault="00FA2F99"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 xml:space="preserve">                             </w:t>
            </w:r>
          </w:p>
        </w:tc>
      </w:tr>
      <w:tr w:rsidR="00FA2F99" w:rsidRPr="002F7BCB" w14:paraId="3EF8BC92" w14:textId="77777777" w:rsidTr="00DB3F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708"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8018E9A" w14:textId="77777777" w:rsidR="00FA2F99" w:rsidRPr="002F7BCB" w:rsidRDefault="00FA2F99" w:rsidP="00FA2F99">
            <w:pPr>
              <w:rPr>
                <w:rFonts w:asciiTheme="minorHAnsi" w:hAnsiTheme="minorHAnsi"/>
                <w:color w:val="000000"/>
                <w:sz w:val="18"/>
                <w:szCs w:val="18"/>
              </w:rPr>
            </w:pPr>
            <w:r w:rsidRPr="002F7BCB">
              <w:rPr>
                <w:rFonts w:asciiTheme="minorHAnsi" w:hAnsiTheme="minorHAnsi"/>
                <w:color w:val="000000"/>
                <w:sz w:val="18"/>
                <w:szCs w:val="18"/>
              </w:rPr>
              <w:t>Number of bank branches</w:t>
            </w:r>
          </w:p>
        </w:tc>
        <w:tc>
          <w:tcPr>
            <w:tcW w:w="1530" w:type="dxa"/>
            <w:tcBorders>
              <w:top w:val="single" w:sz="4" w:space="0" w:color="auto"/>
              <w:left w:val="single" w:sz="4" w:space="0" w:color="auto"/>
              <w:bottom w:val="single" w:sz="4" w:space="0" w:color="auto"/>
              <w:right w:val="single" w:sz="4" w:space="0" w:color="auto"/>
            </w:tcBorders>
            <w:noWrap/>
          </w:tcPr>
          <w:p w14:paraId="5EC881E9" w14:textId="77777777" w:rsidR="00FA2F99" w:rsidRPr="002F7BCB" w:rsidRDefault="00FA2F99" w:rsidP="00FA2F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22</w:t>
            </w:r>
          </w:p>
        </w:tc>
        <w:tc>
          <w:tcPr>
            <w:tcW w:w="1391" w:type="dxa"/>
            <w:tcBorders>
              <w:top w:val="single" w:sz="4" w:space="0" w:color="auto"/>
              <w:left w:val="single" w:sz="4" w:space="0" w:color="auto"/>
              <w:bottom w:val="single" w:sz="4" w:space="0" w:color="auto"/>
              <w:right w:val="single" w:sz="4" w:space="0" w:color="auto"/>
            </w:tcBorders>
            <w:noWrap/>
          </w:tcPr>
          <w:p w14:paraId="4D2CAAED" w14:textId="273D522D" w:rsidR="00FA2F99" w:rsidRPr="002F7BCB" w:rsidRDefault="00E8206F" w:rsidP="00FA2F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Pr>
                <w:rFonts w:asciiTheme="minorHAnsi" w:hAnsiTheme="minorHAnsi"/>
                <w:color w:val="000000"/>
                <w:sz w:val="18"/>
                <w:szCs w:val="18"/>
              </w:rPr>
              <w:t>23</w:t>
            </w:r>
          </w:p>
        </w:tc>
        <w:tc>
          <w:tcPr>
            <w:tcW w:w="1417" w:type="dxa"/>
            <w:tcBorders>
              <w:top w:val="single" w:sz="4" w:space="0" w:color="auto"/>
              <w:left w:val="single" w:sz="4" w:space="0" w:color="auto"/>
              <w:bottom w:val="single" w:sz="4" w:space="0" w:color="auto"/>
              <w:right w:val="single" w:sz="4" w:space="0" w:color="auto"/>
            </w:tcBorders>
            <w:noWrap/>
          </w:tcPr>
          <w:p w14:paraId="45A6136C" w14:textId="77777777" w:rsidR="00FA2F99" w:rsidRPr="002F7BCB" w:rsidRDefault="00FA2F99" w:rsidP="00FA2F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noWrap/>
          </w:tcPr>
          <w:p w14:paraId="0F440176" w14:textId="77777777" w:rsidR="00FA2F99" w:rsidRPr="002F7BCB" w:rsidRDefault="00FA2F99" w:rsidP="00FA2F9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AFI</w:t>
            </w:r>
          </w:p>
        </w:tc>
      </w:tr>
      <w:tr w:rsidR="00FA2F99" w:rsidRPr="002F7BCB" w14:paraId="1A93DC05" w14:textId="77777777" w:rsidTr="00DB3FD4">
        <w:trPr>
          <w:trHeight w:val="419"/>
        </w:trPr>
        <w:tc>
          <w:tcPr>
            <w:cnfStyle w:val="001000000000" w:firstRow="0" w:lastRow="0" w:firstColumn="1" w:lastColumn="0" w:oddVBand="0" w:evenVBand="0" w:oddHBand="0" w:evenHBand="0" w:firstRowFirstColumn="0" w:firstRowLastColumn="0" w:lastRowFirstColumn="0" w:lastRowLastColumn="0"/>
            <w:tcW w:w="3708"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767096C" w14:textId="77777777" w:rsidR="00FA2F99" w:rsidRPr="002F7BCB" w:rsidRDefault="00FA2F99" w:rsidP="00FA2F99">
            <w:pPr>
              <w:rPr>
                <w:rFonts w:asciiTheme="minorHAnsi" w:hAnsiTheme="minorHAnsi"/>
                <w:color w:val="000000"/>
                <w:sz w:val="18"/>
                <w:szCs w:val="18"/>
              </w:rPr>
            </w:pPr>
            <w:r w:rsidRPr="002F7BCB">
              <w:rPr>
                <w:rFonts w:asciiTheme="minorHAnsi" w:hAnsiTheme="minorHAnsi"/>
                <w:color w:val="000000"/>
                <w:sz w:val="18"/>
                <w:szCs w:val="18"/>
              </w:rPr>
              <w:t>Number of ATMs</w:t>
            </w:r>
          </w:p>
        </w:tc>
        <w:tc>
          <w:tcPr>
            <w:tcW w:w="1530" w:type="dxa"/>
            <w:tcBorders>
              <w:top w:val="single" w:sz="4" w:space="0" w:color="auto"/>
              <w:left w:val="single" w:sz="4" w:space="0" w:color="auto"/>
              <w:bottom w:val="single" w:sz="4" w:space="0" w:color="auto"/>
              <w:right w:val="single" w:sz="4" w:space="0" w:color="auto"/>
            </w:tcBorders>
            <w:noWrap/>
          </w:tcPr>
          <w:p w14:paraId="76E17303" w14:textId="6C76A8FD" w:rsidR="00FA2F99" w:rsidRPr="002F7BCB" w:rsidRDefault="0001007A"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Pr>
                <w:rFonts w:asciiTheme="minorHAnsi" w:hAnsiTheme="minorHAnsi"/>
                <w:color w:val="000000"/>
                <w:sz w:val="18"/>
                <w:szCs w:val="18"/>
              </w:rPr>
              <w:t>51</w:t>
            </w:r>
          </w:p>
        </w:tc>
        <w:tc>
          <w:tcPr>
            <w:tcW w:w="1391" w:type="dxa"/>
            <w:tcBorders>
              <w:top w:val="single" w:sz="4" w:space="0" w:color="auto"/>
              <w:left w:val="single" w:sz="4" w:space="0" w:color="auto"/>
              <w:bottom w:val="single" w:sz="4" w:space="0" w:color="auto"/>
              <w:right w:val="single" w:sz="4" w:space="0" w:color="auto"/>
            </w:tcBorders>
            <w:noWrap/>
          </w:tcPr>
          <w:p w14:paraId="420620D1" w14:textId="76865EE3" w:rsidR="00FA2F99" w:rsidRPr="002F7BCB" w:rsidRDefault="00E8206F"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Pr>
                <w:rFonts w:asciiTheme="minorHAnsi" w:hAnsiTheme="minorHAnsi"/>
                <w:color w:val="000000"/>
                <w:sz w:val="18"/>
                <w:szCs w:val="18"/>
              </w:rPr>
              <w:t>46</w:t>
            </w:r>
          </w:p>
        </w:tc>
        <w:tc>
          <w:tcPr>
            <w:tcW w:w="1417" w:type="dxa"/>
            <w:tcBorders>
              <w:top w:val="single" w:sz="4" w:space="0" w:color="auto"/>
              <w:left w:val="single" w:sz="4" w:space="0" w:color="auto"/>
              <w:bottom w:val="single" w:sz="4" w:space="0" w:color="auto"/>
              <w:right w:val="single" w:sz="4" w:space="0" w:color="auto"/>
            </w:tcBorders>
            <w:noWrap/>
          </w:tcPr>
          <w:p w14:paraId="0025CCF8" w14:textId="77777777" w:rsidR="00FA2F99" w:rsidRPr="002F7BCB" w:rsidRDefault="00FA2F99"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noWrap/>
          </w:tcPr>
          <w:p w14:paraId="4534EDCE" w14:textId="77777777" w:rsidR="00FA2F99" w:rsidRPr="002F7BCB" w:rsidRDefault="00FA2F99" w:rsidP="00FA2F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AFI</w:t>
            </w:r>
          </w:p>
        </w:tc>
      </w:tr>
      <w:tr w:rsidR="00FA2F99" w:rsidRPr="002F7BCB" w14:paraId="4F61D57E" w14:textId="77777777" w:rsidTr="00DB3FD4">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3708"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356C680F" w14:textId="77777777" w:rsidR="00FA2F99" w:rsidRPr="002F7BCB" w:rsidRDefault="00FA2F99" w:rsidP="00FA2F99">
            <w:pPr>
              <w:rPr>
                <w:rFonts w:asciiTheme="minorHAnsi" w:hAnsiTheme="minorHAnsi"/>
                <w:color w:val="000000"/>
                <w:sz w:val="18"/>
                <w:szCs w:val="18"/>
              </w:rPr>
            </w:pPr>
            <w:r w:rsidRPr="002F7BCB">
              <w:rPr>
                <w:rFonts w:asciiTheme="minorHAnsi" w:hAnsiTheme="minorHAnsi"/>
                <w:color w:val="000000"/>
                <w:sz w:val="18"/>
                <w:szCs w:val="18"/>
              </w:rPr>
              <w:t>Number of EFTPOS outlets</w:t>
            </w:r>
          </w:p>
        </w:tc>
        <w:tc>
          <w:tcPr>
            <w:tcW w:w="1530" w:type="dxa"/>
            <w:tcBorders>
              <w:top w:val="single" w:sz="4" w:space="0" w:color="auto"/>
              <w:left w:val="single" w:sz="4" w:space="0" w:color="auto"/>
              <w:bottom w:val="single" w:sz="4" w:space="0" w:color="auto"/>
              <w:right w:val="single" w:sz="4" w:space="0" w:color="auto"/>
            </w:tcBorders>
            <w:noWrap/>
          </w:tcPr>
          <w:p w14:paraId="1AE0E2CA" w14:textId="2DB86AE8" w:rsidR="00FA2F99" w:rsidRPr="002F7BCB" w:rsidRDefault="0001007A" w:rsidP="00FA2F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Pr>
                <w:rFonts w:asciiTheme="minorHAnsi" w:hAnsiTheme="minorHAnsi"/>
                <w:color w:val="000000"/>
                <w:sz w:val="18"/>
                <w:szCs w:val="18"/>
              </w:rPr>
              <w:t>674</w:t>
            </w:r>
          </w:p>
        </w:tc>
        <w:tc>
          <w:tcPr>
            <w:tcW w:w="1391" w:type="dxa"/>
            <w:tcBorders>
              <w:top w:val="single" w:sz="4" w:space="0" w:color="auto"/>
              <w:left w:val="single" w:sz="4" w:space="0" w:color="auto"/>
              <w:bottom w:val="single" w:sz="4" w:space="0" w:color="auto"/>
              <w:right w:val="single" w:sz="4" w:space="0" w:color="auto"/>
            </w:tcBorders>
            <w:noWrap/>
          </w:tcPr>
          <w:p w14:paraId="406922F8" w14:textId="1BF322CD" w:rsidR="00FA2F99" w:rsidRPr="002F7BCB" w:rsidRDefault="00E8206F" w:rsidP="00FA2F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Pr>
                <w:rFonts w:asciiTheme="minorHAnsi" w:hAnsiTheme="minorHAnsi"/>
                <w:color w:val="000000"/>
                <w:sz w:val="18"/>
                <w:szCs w:val="18"/>
              </w:rPr>
              <w:t>640</w:t>
            </w:r>
          </w:p>
        </w:tc>
        <w:tc>
          <w:tcPr>
            <w:tcW w:w="1417" w:type="dxa"/>
            <w:tcBorders>
              <w:top w:val="single" w:sz="4" w:space="0" w:color="auto"/>
              <w:left w:val="single" w:sz="4" w:space="0" w:color="auto"/>
              <w:bottom w:val="single" w:sz="4" w:space="0" w:color="auto"/>
              <w:right w:val="single" w:sz="4" w:space="0" w:color="auto"/>
            </w:tcBorders>
            <w:noWrap/>
          </w:tcPr>
          <w:p w14:paraId="1C6F57CB" w14:textId="77777777" w:rsidR="00FA2F99" w:rsidRPr="002F7BCB" w:rsidRDefault="00FA2F99" w:rsidP="00FA2F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noWrap/>
          </w:tcPr>
          <w:p w14:paraId="7687B619" w14:textId="77777777" w:rsidR="00FA2F99" w:rsidRPr="002F7BCB" w:rsidRDefault="00FA2F99" w:rsidP="00FA2F9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p>
        </w:tc>
      </w:tr>
      <w:tr w:rsidR="00FA2F99" w:rsidRPr="002F7BCB" w14:paraId="5B122737" w14:textId="77777777" w:rsidTr="00E02E48">
        <w:trPr>
          <w:trHeight w:val="600"/>
        </w:trPr>
        <w:tc>
          <w:tcPr>
            <w:cnfStyle w:val="001000000000" w:firstRow="0" w:lastRow="0" w:firstColumn="1" w:lastColumn="0" w:oddVBand="0" w:evenVBand="0" w:oddHBand="0" w:evenHBand="0" w:firstRowFirstColumn="0" w:firstRowLastColumn="0" w:lastRowFirstColumn="0" w:lastRowLastColumn="0"/>
            <w:tcW w:w="3708"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774818B7" w14:textId="1A2471C4" w:rsidR="00FA2F99" w:rsidRPr="002F7BCB" w:rsidRDefault="00FA2F99" w:rsidP="00BC1F34">
            <w:pPr>
              <w:rPr>
                <w:rFonts w:asciiTheme="minorHAnsi" w:hAnsiTheme="minorHAnsi"/>
                <w:color w:val="000000"/>
                <w:sz w:val="18"/>
                <w:szCs w:val="18"/>
              </w:rPr>
            </w:pPr>
            <w:bookmarkStart w:id="0" w:name="_GoBack" w:colFirst="1" w:colLast="2"/>
            <w:r w:rsidRPr="002F7BCB">
              <w:rPr>
                <w:rFonts w:asciiTheme="minorHAnsi" w:hAnsiTheme="minorHAnsi"/>
                <w:color w:val="000000"/>
                <w:sz w:val="18"/>
                <w:szCs w:val="18"/>
              </w:rPr>
              <w:t>1.1.    Number of cash-in and cash-out access points per 10,000 adults at the national level.</w:t>
            </w:r>
          </w:p>
        </w:tc>
        <w:tc>
          <w:tcPr>
            <w:tcW w:w="1530" w:type="dxa"/>
            <w:tcBorders>
              <w:top w:val="single" w:sz="4" w:space="0" w:color="auto"/>
              <w:left w:val="single" w:sz="4" w:space="0" w:color="auto"/>
              <w:bottom w:val="single" w:sz="4" w:space="0" w:color="auto"/>
              <w:right w:val="single" w:sz="4" w:space="0" w:color="auto"/>
            </w:tcBorders>
            <w:noWrap/>
            <w:hideMark/>
          </w:tcPr>
          <w:p w14:paraId="65AEB000" w14:textId="77777777" w:rsidR="00FA2F99" w:rsidRPr="009E2D44" w:rsidRDefault="00322C4A"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9E2D44">
              <w:rPr>
                <w:rFonts w:asciiTheme="minorHAnsi" w:hAnsiTheme="minorHAnsi"/>
                <w:sz w:val="18"/>
                <w:szCs w:val="18"/>
              </w:rPr>
              <w:t>9.45</w:t>
            </w:r>
          </w:p>
          <w:p w14:paraId="23E90B6F" w14:textId="02BB4765" w:rsidR="00322C4A" w:rsidRPr="009E2D44" w:rsidRDefault="00322C4A"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p>
        </w:tc>
        <w:tc>
          <w:tcPr>
            <w:tcW w:w="1391" w:type="dxa"/>
            <w:tcBorders>
              <w:top w:val="single" w:sz="4" w:space="0" w:color="auto"/>
              <w:left w:val="single" w:sz="4" w:space="0" w:color="auto"/>
              <w:bottom w:val="single" w:sz="4" w:space="0" w:color="auto"/>
              <w:right w:val="single" w:sz="4" w:space="0" w:color="auto"/>
            </w:tcBorders>
            <w:noWrap/>
            <w:hideMark/>
          </w:tcPr>
          <w:p w14:paraId="3E686AD4" w14:textId="7D1336AA" w:rsidR="00FA2F99" w:rsidRPr="009E2D44" w:rsidRDefault="00D62D52"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9E2D44">
              <w:rPr>
                <w:rFonts w:asciiTheme="minorHAnsi" w:hAnsiTheme="minorHAnsi"/>
                <w:sz w:val="18"/>
                <w:szCs w:val="18"/>
              </w:rPr>
              <w:t>8.78</w:t>
            </w:r>
          </w:p>
        </w:tc>
        <w:tc>
          <w:tcPr>
            <w:tcW w:w="1417" w:type="dxa"/>
            <w:tcBorders>
              <w:top w:val="single" w:sz="4" w:space="0" w:color="auto"/>
              <w:left w:val="single" w:sz="4" w:space="0" w:color="auto"/>
              <w:bottom w:val="single" w:sz="4" w:space="0" w:color="auto"/>
              <w:right w:val="single" w:sz="4" w:space="0" w:color="auto"/>
            </w:tcBorders>
            <w:noWrap/>
            <w:hideMark/>
          </w:tcPr>
          <w:p w14:paraId="46D7281F" w14:textId="77777777" w:rsidR="00FA2F99" w:rsidRPr="002F7BCB" w:rsidRDefault="00FA2F99"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noWrap/>
            <w:hideMark/>
          </w:tcPr>
          <w:p w14:paraId="472B16B0" w14:textId="77777777" w:rsidR="00FA2F99" w:rsidRPr="002F7BCB" w:rsidRDefault="00FA2F99" w:rsidP="00FA2F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AFI</w:t>
            </w:r>
          </w:p>
        </w:tc>
      </w:tr>
      <w:bookmarkEnd w:id="0"/>
      <w:tr w:rsidR="00FA2F99" w:rsidRPr="002F7BCB" w14:paraId="2B65488C" w14:textId="77777777" w:rsidTr="00E02E48">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708"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62775B8B" w14:textId="79A2E6B0" w:rsidR="00FA2F99" w:rsidRPr="002F7BCB" w:rsidRDefault="00FA2F99" w:rsidP="00FA2F99">
            <w:pPr>
              <w:rPr>
                <w:rFonts w:asciiTheme="minorHAnsi" w:hAnsiTheme="minorHAnsi"/>
                <w:color w:val="000000"/>
                <w:sz w:val="18"/>
                <w:szCs w:val="18"/>
              </w:rPr>
            </w:pPr>
            <w:r w:rsidRPr="002F7BCB">
              <w:rPr>
                <w:rFonts w:asciiTheme="minorHAnsi" w:hAnsiTheme="minorHAnsi"/>
                <w:color w:val="000000"/>
                <w:sz w:val="18"/>
                <w:szCs w:val="18"/>
              </w:rPr>
              <w:t xml:space="preserve">1.2.    Number of branches per 10,000 adults nationally </w:t>
            </w:r>
          </w:p>
        </w:tc>
        <w:tc>
          <w:tcPr>
            <w:tcW w:w="1530" w:type="dxa"/>
            <w:tcBorders>
              <w:top w:val="single" w:sz="4" w:space="0" w:color="auto"/>
              <w:left w:val="single" w:sz="4" w:space="0" w:color="auto"/>
              <w:bottom w:val="single" w:sz="4" w:space="0" w:color="auto"/>
              <w:right w:val="single" w:sz="4" w:space="0" w:color="auto"/>
            </w:tcBorders>
            <w:noWrap/>
            <w:hideMark/>
          </w:tcPr>
          <w:p w14:paraId="17FFD949" w14:textId="17B8979E" w:rsidR="00FA2F99" w:rsidRPr="002F7BCB" w:rsidRDefault="0001007A" w:rsidP="00FA2F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Pr>
                <w:rFonts w:asciiTheme="minorHAnsi" w:hAnsiTheme="minorHAnsi"/>
                <w:color w:val="000000"/>
                <w:sz w:val="18"/>
                <w:szCs w:val="18"/>
              </w:rPr>
              <w:t>1.92</w:t>
            </w:r>
          </w:p>
        </w:tc>
        <w:tc>
          <w:tcPr>
            <w:tcW w:w="1391" w:type="dxa"/>
            <w:tcBorders>
              <w:top w:val="single" w:sz="4" w:space="0" w:color="auto"/>
              <w:left w:val="single" w:sz="4" w:space="0" w:color="auto"/>
              <w:bottom w:val="single" w:sz="4" w:space="0" w:color="auto"/>
              <w:right w:val="single" w:sz="4" w:space="0" w:color="auto"/>
            </w:tcBorders>
            <w:noWrap/>
            <w:hideMark/>
          </w:tcPr>
          <w:p w14:paraId="4D3F8DAD" w14:textId="3FF4DD9E" w:rsidR="00FA2F99" w:rsidRPr="002F7BCB" w:rsidRDefault="00E8206F" w:rsidP="00FA2F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Pr>
                <w:rFonts w:asciiTheme="minorHAnsi" w:hAnsiTheme="minorHAnsi"/>
                <w:color w:val="000000"/>
                <w:sz w:val="18"/>
                <w:szCs w:val="18"/>
              </w:rPr>
              <w:t>1.92</w:t>
            </w:r>
          </w:p>
        </w:tc>
        <w:tc>
          <w:tcPr>
            <w:tcW w:w="1417" w:type="dxa"/>
            <w:tcBorders>
              <w:top w:val="single" w:sz="4" w:space="0" w:color="auto"/>
              <w:left w:val="single" w:sz="4" w:space="0" w:color="auto"/>
              <w:bottom w:val="single" w:sz="4" w:space="0" w:color="auto"/>
              <w:right w:val="single" w:sz="4" w:space="0" w:color="auto"/>
            </w:tcBorders>
            <w:noWrap/>
            <w:hideMark/>
          </w:tcPr>
          <w:p w14:paraId="1A2AFC9E" w14:textId="77777777" w:rsidR="00FA2F99" w:rsidRPr="002F7BCB" w:rsidRDefault="00FA2F99" w:rsidP="00FA2F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noWrap/>
            <w:hideMark/>
          </w:tcPr>
          <w:p w14:paraId="7E29F9E9" w14:textId="77777777" w:rsidR="00FA2F99" w:rsidRPr="002F7BCB" w:rsidRDefault="00FA2F99" w:rsidP="00FA2F9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AFI</w:t>
            </w:r>
          </w:p>
        </w:tc>
      </w:tr>
      <w:tr w:rsidR="00FA2F99" w:rsidRPr="002F7BCB" w14:paraId="78214466" w14:textId="77777777" w:rsidTr="00E02E48">
        <w:trPr>
          <w:trHeight w:val="300"/>
        </w:trPr>
        <w:tc>
          <w:tcPr>
            <w:cnfStyle w:val="001000000000" w:firstRow="0" w:lastRow="0" w:firstColumn="1" w:lastColumn="0" w:oddVBand="0" w:evenVBand="0" w:oddHBand="0" w:evenHBand="0" w:firstRowFirstColumn="0" w:firstRowLastColumn="0" w:lastRowFirstColumn="0" w:lastRowLastColumn="0"/>
            <w:tcW w:w="3708"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679CE1B9" w14:textId="77777777" w:rsidR="00FA2F99" w:rsidRPr="002F7BCB" w:rsidRDefault="00FA2F99" w:rsidP="00FA2F99">
            <w:pPr>
              <w:rPr>
                <w:rFonts w:asciiTheme="minorHAnsi" w:hAnsiTheme="minorHAnsi"/>
                <w:color w:val="000000"/>
                <w:sz w:val="18"/>
                <w:szCs w:val="18"/>
              </w:rPr>
            </w:pPr>
            <w:r w:rsidRPr="002F7BCB">
              <w:rPr>
                <w:rFonts w:asciiTheme="minorHAnsi" w:hAnsiTheme="minorHAnsi"/>
                <w:color w:val="000000"/>
                <w:sz w:val="18"/>
                <w:szCs w:val="18"/>
              </w:rPr>
              <w:t>1.3.    Number of ATMs per 10,000 adults nationally</w:t>
            </w:r>
          </w:p>
        </w:tc>
        <w:tc>
          <w:tcPr>
            <w:tcW w:w="1530" w:type="dxa"/>
            <w:tcBorders>
              <w:top w:val="single" w:sz="4" w:space="0" w:color="auto"/>
              <w:left w:val="single" w:sz="4" w:space="0" w:color="auto"/>
              <w:bottom w:val="single" w:sz="4" w:space="0" w:color="auto"/>
              <w:right w:val="single" w:sz="4" w:space="0" w:color="auto"/>
            </w:tcBorders>
            <w:noWrap/>
            <w:hideMark/>
          </w:tcPr>
          <w:p w14:paraId="088C5F43" w14:textId="20636D9D" w:rsidR="00FA2F99" w:rsidRPr="002F7BCB" w:rsidRDefault="00A82791"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3.</w:t>
            </w:r>
            <w:r w:rsidR="0001007A">
              <w:rPr>
                <w:rFonts w:asciiTheme="minorHAnsi" w:hAnsiTheme="minorHAnsi"/>
                <w:color w:val="000000"/>
                <w:sz w:val="18"/>
                <w:szCs w:val="18"/>
              </w:rPr>
              <w:t>51</w:t>
            </w:r>
          </w:p>
        </w:tc>
        <w:tc>
          <w:tcPr>
            <w:tcW w:w="1391" w:type="dxa"/>
            <w:tcBorders>
              <w:top w:val="single" w:sz="4" w:space="0" w:color="auto"/>
              <w:left w:val="single" w:sz="4" w:space="0" w:color="auto"/>
              <w:bottom w:val="single" w:sz="4" w:space="0" w:color="auto"/>
              <w:right w:val="single" w:sz="4" w:space="0" w:color="auto"/>
            </w:tcBorders>
            <w:noWrap/>
            <w:hideMark/>
          </w:tcPr>
          <w:p w14:paraId="0C2F33C8" w14:textId="1E1F8582" w:rsidR="00FA2F99" w:rsidRPr="002F7BCB" w:rsidRDefault="00E8206F"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Pr>
                <w:rFonts w:asciiTheme="minorHAnsi" w:hAnsiTheme="minorHAnsi"/>
                <w:color w:val="000000"/>
                <w:sz w:val="18"/>
                <w:szCs w:val="18"/>
              </w:rPr>
              <w:t>3.10</w:t>
            </w:r>
          </w:p>
        </w:tc>
        <w:tc>
          <w:tcPr>
            <w:tcW w:w="1417" w:type="dxa"/>
            <w:tcBorders>
              <w:top w:val="single" w:sz="4" w:space="0" w:color="auto"/>
              <w:left w:val="single" w:sz="4" w:space="0" w:color="auto"/>
              <w:bottom w:val="single" w:sz="4" w:space="0" w:color="auto"/>
              <w:right w:val="single" w:sz="4" w:space="0" w:color="auto"/>
            </w:tcBorders>
            <w:noWrap/>
            <w:hideMark/>
          </w:tcPr>
          <w:p w14:paraId="09E23A1B" w14:textId="77777777" w:rsidR="00FA2F99" w:rsidRPr="002F7BCB" w:rsidRDefault="00FA2F99"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noWrap/>
            <w:hideMark/>
          </w:tcPr>
          <w:p w14:paraId="46DBC4FF" w14:textId="77777777" w:rsidR="00FA2F99" w:rsidRPr="002F7BCB" w:rsidRDefault="00FA2F99" w:rsidP="00FA2F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AFI</w:t>
            </w:r>
          </w:p>
        </w:tc>
      </w:tr>
      <w:tr w:rsidR="00FA2F99" w:rsidRPr="002F7BCB" w14:paraId="45A3EF60" w14:textId="77777777" w:rsidTr="00E02E48">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708"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2F49EE1F" w14:textId="77777777" w:rsidR="00FA2F99" w:rsidRPr="002F7BCB" w:rsidRDefault="00FA2F99" w:rsidP="00FA2F99">
            <w:pPr>
              <w:rPr>
                <w:rFonts w:asciiTheme="minorHAnsi" w:hAnsiTheme="minorHAnsi"/>
                <w:color w:val="000000"/>
                <w:sz w:val="18"/>
                <w:szCs w:val="18"/>
              </w:rPr>
            </w:pPr>
            <w:r w:rsidRPr="002F7BCB">
              <w:rPr>
                <w:rFonts w:asciiTheme="minorHAnsi" w:hAnsiTheme="minorHAnsi"/>
                <w:color w:val="000000"/>
                <w:sz w:val="18"/>
                <w:szCs w:val="18"/>
              </w:rPr>
              <w:t>1.4.    Number of EFTPOS per 10,000 adults nationally</w:t>
            </w:r>
          </w:p>
        </w:tc>
        <w:tc>
          <w:tcPr>
            <w:tcW w:w="1530" w:type="dxa"/>
            <w:tcBorders>
              <w:top w:val="single" w:sz="4" w:space="0" w:color="auto"/>
              <w:left w:val="single" w:sz="4" w:space="0" w:color="auto"/>
              <w:bottom w:val="single" w:sz="4" w:space="0" w:color="auto"/>
              <w:right w:val="single" w:sz="4" w:space="0" w:color="auto"/>
            </w:tcBorders>
            <w:noWrap/>
            <w:hideMark/>
          </w:tcPr>
          <w:p w14:paraId="4240F8D9" w14:textId="0125161C" w:rsidR="00FA2F99" w:rsidRPr="002F7BCB" w:rsidRDefault="0001007A" w:rsidP="00FA2F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Pr>
                <w:rFonts w:asciiTheme="minorHAnsi" w:hAnsiTheme="minorHAnsi"/>
                <w:color w:val="000000"/>
                <w:sz w:val="18"/>
                <w:szCs w:val="18"/>
              </w:rPr>
              <w:t>56.39</w:t>
            </w:r>
          </w:p>
        </w:tc>
        <w:tc>
          <w:tcPr>
            <w:tcW w:w="1391" w:type="dxa"/>
            <w:tcBorders>
              <w:top w:val="single" w:sz="4" w:space="0" w:color="auto"/>
              <w:left w:val="single" w:sz="4" w:space="0" w:color="auto"/>
              <w:bottom w:val="single" w:sz="4" w:space="0" w:color="auto"/>
              <w:right w:val="single" w:sz="4" w:space="0" w:color="auto"/>
            </w:tcBorders>
            <w:noWrap/>
            <w:hideMark/>
          </w:tcPr>
          <w:p w14:paraId="519771A6" w14:textId="3A51A145" w:rsidR="00FA2F99" w:rsidRPr="002F7BCB" w:rsidRDefault="00E8206F" w:rsidP="00FA2F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Pr>
                <w:rFonts w:asciiTheme="minorHAnsi" w:hAnsiTheme="minorHAnsi"/>
                <w:color w:val="000000"/>
                <w:sz w:val="18"/>
                <w:szCs w:val="18"/>
              </w:rPr>
              <w:t>53.54</w:t>
            </w:r>
          </w:p>
        </w:tc>
        <w:tc>
          <w:tcPr>
            <w:tcW w:w="1417" w:type="dxa"/>
            <w:tcBorders>
              <w:top w:val="single" w:sz="4" w:space="0" w:color="auto"/>
              <w:left w:val="single" w:sz="4" w:space="0" w:color="auto"/>
              <w:bottom w:val="single" w:sz="4" w:space="0" w:color="auto"/>
              <w:right w:val="single" w:sz="4" w:space="0" w:color="auto"/>
            </w:tcBorders>
            <w:noWrap/>
            <w:hideMark/>
          </w:tcPr>
          <w:p w14:paraId="39EFDED2" w14:textId="77777777" w:rsidR="00FA2F99" w:rsidRPr="002F7BCB" w:rsidRDefault="00FA2F99" w:rsidP="00FA2F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noWrap/>
            <w:hideMark/>
          </w:tcPr>
          <w:p w14:paraId="4243FF3F" w14:textId="77777777" w:rsidR="00FA2F99" w:rsidRPr="002F7BCB" w:rsidRDefault="00FA2F99" w:rsidP="00FA2F9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AFI</w:t>
            </w:r>
          </w:p>
        </w:tc>
      </w:tr>
      <w:tr w:rsidR="00FA2F99" w:rsidRPr="002F7BCB" w14:paraId="7766E2CE" w14:textId="77777777" w:rsidTr="00E02E48">
        <w:trPr>
          <w:trHeight w:val="600"/>
        </w:trPr>
        <w:tc>
          <w:tcPr>
            <w:cnfStyle w:val="001000000000" w:firstRow="0" w:lastRow="0" w:firstColumn="1" w:lastColumn="0" w:oddVBand="0" w:evenVBand="0" w:oddHBand="0" w:evenHBand="0" w:firstRowFirstColumn="0" w:firstRowLastColumn="0" w:lastRowFirstColumn="0" w:lastRowLastColumn="0"/>
            <w:tcW w:w="3708"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3D230766" w14:textId="77777777" w:rsidR="00FA2F99" w:rsidRPr="002F7BCB" w:rsidRDefault="00FA2F99" w:rsidP="00FA2F99">
            <w:pPr>
              <w:rPr>
                <w:rFonts w:asciiTheme="minorHAnsi" w:hAnsiTheme="minorHAnsi"/>
                <w:color w:val="000000"/>
                <w:sz w:val="18"/>
                <w:szCs w:val="18"/>
              </w:rPr>
            </w:pPr>
            <w:r w:rsidRPr="002F7BCB">
              <w:rPr>
                <w:rFonts w:asciiTheme="minorHAnsi" w:hAnsiTheme="minorHAnsi"/>
                <w:color w:val="000000"/>
                <w:sz w:val="18"/>
                <w:szCs w:val="18"/>
              </w:rPr>
              <w:t>1.5.    Number of Agents per 10,000 adults nationally</w:t>
            </w:r>
          </w:p>
        </w:tc>
        <w:tc>
          <w:tcPr>
            <w:tcW w:w="1530" w:type="dxa"/>
            <w:tcBorders>
              <w:top w:val="single" w:sz="4" w:space="0" w:color="auto"/>
              <w:left w:val="single" w:sz="4" w:space="0" w:color="auto"/>
              <w:bottom w:val="single" w:sz="4" w:space="0" w:color="auto"/>
              <w:right w:val="single" w:sz="4" w:space="0" w:color="auto"/>
            </w:tcBorders>
            <w:noWrap/>
            <w:hideMark/>
          </w:tcPr>
          <w:p w14:paraId="03DF9F83" w14:textId="3C304F41" w:rsidR="00FA2F99" w:rsidRPr="009E2D44" w:rsidRDefault="00B40414"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9E2D44">
              <w:rPr>
                <w:rFonts w:asciiTheme="minorHAnsi" w:hAnsiTheme="minorHAnsi"/>
                <w:sz w:val="18"/>
                <w:szCs w:val="18"/>
              </w:rPr>
              <w:t>6.78</w:t>
            </w:r>
          </w:p>
        </w:tc>
        <w:tc>
          <w:tcPr>
            <w:tcW w:w="1391" w:type="dxa"/>
            <w:tcBorders>
              <w:top w:val="single" w:sz="4" w:space="0" w:color="auto"/>
              <w:left w:val="single" w:sz="4" w:space="0" w:color="auto"/>
              <w:bottom w:val="single" w:sz="4" w:space="0" w:color="auto"/>
              <w:right w:val="single" w:sz="4" w:space="0" w:color="auto"/>
            </w:tcBorders>
            <w:noWrap/>
            <w:hideMark/>
          </w:tcPr>
          <w:p w14:paraId="34F714B2" w14:textId="2BA179CA" w:rsidR="00FA2F99" w:rsidRPr="009E2D44" w:rsidRDefault="00B40414"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9E2D44">
              <w:rPr>
                <w:rFonts w:asciiTheme="minorHAnsi" w:hAnsiTheme="minorHAnsi"/>
                <w:sz w:val="18"/>
                <w:szCs w:val="18"/>
              </w:rPr>
              <w:t>6.11</w:t>
            </w:r>
          </w:p>
        </w:tc>
        <w:tc>
          <w:tcPr>
            <w:tcW w:w="1417" w:type="dxa"/>
            <w:tcBorders>
              <w:top w:val="single" w:sz="4" w:space="0" w:color="auto"/>
              <w:left w:val="single" w:sz="4" w:space="0" w:color="auto"/>
              <w:bottom w:val="single" w:sz="4" w:space="0" w:color="auto"/>
              <w:right w:val="single" w:sz="4" w:space="0" w:color="auto"/>
            </w:tcBorders>
            <w:noWrap/>
            <w:hideMark/>
          </w:tcPr>
          <w:p w14:paraId="05E1BBAC" w14:textId="77777777" w:rsidR="00FA2F99" w:rsidRPr="002F7BCB" w:rsidRDefault="00FA2F99"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noWrap/>
            <w:hideMark/>
          </w:tcPr>
          <w:p w14:paraId="3FE96224" w14:textId="77777777" w:rsidR="00FA2F99" w:rsidRPr="002F7BCB" w:rsidRDefault="00FA2F99" w:rsidP="00FA2F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AFI</w:t>
            </w:r>
          </w:p>
        </w:tc>
      </w:tr>
      <w:tr w:rsidR="00FA2F99" w:rsidRPr="002F7BCB" w14:paraId="51E73B96" w14:textId="77777777" w:rsidTr="00E02E48">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708"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4117EFF9" w14:textId="77777777" w:rsidR="00FA2F99" w:rsidRPr="002F7BCB" w:rsidRDefault="00FA2F99" w:rsidP="00FA2F99">
            <w:pPr>
              <w:rPr>
                <w:rFonts w:asciiTheme="minorHAnsi" w:hAnsiTheme="minorHAnsi"/>
                <w:color w:val="000000"/>
                <w:sz w:val="18"/>
                <w:szCs w:val="18"/>
              </w:rPr>
            </w:pPr>
            <w:r w:rsidRPr="002F7BCB">
              <w:rPr>
                <w:rFonts w:asciiTheme="minorHAnsi" w:hAnsiTheme="minorHAnsi"/>
                <w:color w:val="000000"/>
                <w:sz w:val="18"/>
                <w:szCs w:val="18"/>
              </w:rPr>
              <w:t>2.3   Coverage of cash in and cash out access points per 1,000 km²</w:t>
            </w:r>
          </w:p>
        </w:tc>
        <w:tc>
          <w:tcPr>
            <w:tcW w:w="1530" w:type="dxa"/>
            <w:tcBorders>
              <w:top w:val="single" w:sz="4" w:space="0" w:color="auto"/>
              <w:left w:val="single" w:sz="4" w:space="0" w:color="auto"/>
              <w:bottom w:val="single" w:sz="4" w:space="0" w:color="auto"/>
              <w:right w:val="single" w:sz="4" w:space="0" w:color="auto"/>
            </w:tcBorders>
            <w:noWrap/>
            <w:hideMark/>
          </w:tcPr>
          <w:p w14:paraId="4E5DF5F4" w14:textId="0B07278C" w:rsidR="00FA2F99" w:rsidRPr="002F7BCB" w:rsidRDefault="0001007A" w:rsidP="00FA2F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Pr>
                <w:rFonts w:asciiTheme="minorHAnsi" w:hAnsiTheme="minorHAnsi"/>
                <w:color w:val="000000"/>
                <w:sz w:val="18"/>
                <w:szCs w:val="18"/>
              </w:rPr>
              <w:t>25.44</w:t>
            </w:r>
          </w:p>
        </w:tc>
        <w:tc>
          <w:tcPr>
            <w:tcW w:w="1391" w:type="dxa"/>
            <w:tcBorders>
              <w:top w:val="single" w:sz="4" w:space="0" w:color="auto"/>
              <w:left w:val="single" w:sz="4" w:space="0" w:color="auto"/>
              <w:bottom w:val="single" w:sz="4" w:space="0" w:color="auto"/>
              <w:right w:val="single" w:sz="4" w:space="0" w:color="auto"/>
            </w:tcBorders>
            <w:noWrap/>
            <w:hideMark/>
          </w:tcPr>
          <w:p w14:paraId="05B16AF6" w14:textId="119F0439" w:rsidR="00FA2F99" w:rsidRPr="002F7BCB" w:rsidRDefault="00E8206F" w:rsidP="00FA2F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Pr>
                <w:rFonts w:asciiTheme="minorHAnsi" w:hAnsiTheme="minorHAnsi"/>
                <w:color w:val="000000"/>
                <w:sz w:val="18"/>
                <w:szCs w:val="18"/>
              </w:rPr>
              <w:t>37.46</w:t>
            </w:r>
          </w:p>
        </w:tc>
        <w:tc>
          <w:tcPr>
            <w:tcW w:w="1417" w:type="dxa"/>
            <w:tcBorders>
              <w:top w:val="single" w:sz="4" w:space="0" w:color="auto"/>
              <w:left w:val="single" w:sz="4" w:space="0" w:color="auto"/>
              <w:bottom w:val="single" w:sz="4" w:space="0" w:color="auto"/>
              <w:right w:val="single" w:sz="4" w:space="0" w:color="auto"/>
            </w:tcBorders>
            <w:noWrap/>
            <w:hideMark/>
          </w:tcPr>
          <w:p w14:paraId="02610044" w14:textId="77777777" w:rsidR="00FA2F99" w:rsidRPr="002F7BCB" w:rsidRDefault="00FA2F99" w:rsidP="00FA2F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noWrap/>
            <w:hideMark/>
          </w:tcPr>
          <w:p w14:paraId="5E53DA36" w14:textId="77777777" w:rsidR="00FA2F99" w:rsidRPr="002F7BCB" w:rsidRDefault="00FA2F99" w:rsidP="00FA2F9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AFI</w:t>
            </w:r>
          </w:p>
        </w:tc>
      </w:tr>
      <w:tr w:rsidR="00FA2F99" w:rsidRPr="002F7BCB" w14:paraId="60F121A9" w14:textId="77777777" w:rsidTr="00E02E48">
        <w:trPr>
          <w:trHeight w:val="300"/>
        </w:trPr>
        <w:tc>
          <w:tcPr>
            <w:cnfStyle w:val="001000000000" w:firstRow="0" w:lastRow="0" w:firstColumn="1" w:lastColumn="0" w:oddVBand="0" w:evenVBand="0" w:oddHBand="0" w:evenHBand="0" w:firstRowFirstColumn="0" w:firstRowLastColumn="0" w:lastRowFirstColumn="0" w:lastRowLastColumn="0"/>
            <w:tcW w:w="3708"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2EE5BE8A" w14:textId="77777777" w:rsidR="00FA2F99" w:rsidRPr="002F7BCB" w:rsidRDefault="00FA2F99" w:rsidP="00FA2F99">
            <w:pPr>
              <w:numPr>
                <w:ilvl w:val="0"/>
                <w:numId w:val="1"/>
              </w:numPr>
              <w:ind w:left="360" w:hanging="180"/>
              <w:contextualSpacing/>
              <w:jc w:val="both"/>
              <w:rPr>
                <w:rFonts w:asciiTheme="minorHAnsi" w:eastAsiaTheme="minorEastAsia" w:hAnsiTheme="minorHAnsi"/>
                <w:color w:val="000000"/>
                <w:sz w:val="18"/>
                <w:szCs w:val="18"/>
              </w:rPr>
            </w:pPr>
            <w:r w:rsidRPr="002F7BCB">
              <w:rPr>
                <w:rFonts w:asciiTheme="minorHAnsi" w:eastAsiaTheme="minorEastAsia" w:hAnsiTheme="minorHAnsi"/>
                <w:color w:val="000000"/>
                <w:sz w:val="18"/>
                <w:szCs w:val="18"/>
              </w:rPr>
              <w:t>Number of Branches per 1,000 km²</w:t>
            </w:r>
          </w:p>
        </w:tc>
        <w:tc>
          <w:tcPr>
            <w:tcW w:w="1530" w:type="dxa"/>
            <w:tcBorders>
              <w:top w:val="single" w:sz="4" w:space="0" w:color="auto"/>
              <w:left w:val="single" w:sz="4" w:space="0" w:color="auto"/>
              <w:bottom w:val="single" w:sz="4" w:space="0" w:color="auto"/>
              <w:right w:val="single" w:sz="4" w:space="0" w:color="auto"/>
            </w:tcBorders>
            <w:noWrap/>
            <w:hideMark/>
          </w:tcPr>
          <w:p w14:paraId="3ECB6DD4" w14:textId="518B91B7" w:rsidR="00FA2F99" w:rsidRPr="002F7BCB" w:rsidRDefault="0001007A"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Pr>
                <w:rFonts w:asciiTheme="minorHAnsi" w:hAnsiTheme="minorHAnsi"/>
                <w:color w:val="000000"/>
                <w:sz w:val="18"/>
                <w:szCs w:val="18"/>
              </w:rPr>
              <w:t>8.13</w:t>
            </w:r>
          </w:p>
          <w:p w14:paraId="1D41329D" w14:textId="77777777" w:rsidR="00FA2F99" w:rsidRPr="002F7BCB" w:rsidRDefault="00FA2F99" w:rsidP="00FA2F99">
            <w:pPr>
              <w:tabs>
                <w:tab w:val="center" w:pos="429"/>
                <w:tab w:val="right" w:pos="858"/>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p>
        </w:tc>
        <w:tc>
          <w:tcPr>
            <w:tcW w:w="1391" w:type="dxa"/>
            <w:tcBorders>
              <w:top w:val="single" w:sz="4" w:space="0" w:color="auto"/>
              <w:left w:val="single" w:sz="4" w:space="0" w:color="auto"/>
              <w:bottom w:val="single" w:sz="4" w:space="0" w:color="auto"/>
              <w:right w:val="single" w:sz="4" w:space="0" w:color="auto"/>
            </w:tcBorders>
            <w:noWrap/>
            <w:hideMark/>
          </w:tcPr>
          <w:p w14:paraId="693F6748" w14:textId="1C71B4F5" w:rsidR="00FA2F99" w:rsidRPr="002F7BCB" w:rsidRDefault="00E8206F"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Pr>
                <w:rFonts w:asciiTheme="minorHAnsi" w:hAnsiTheme="minorHAnsi"/>
                <w:color w:val="000000"/>
                <w:sz w:val="18"/>
                <w:szCs w:val="18"/>
              </w:rPr>
              <w:t>8.13</w:t>
            </w:r>
          </w:p>
        </w:tc>
        <w:tc>
          <w:tcPr>
            <w:tcW w:w="1417" w:type="dxa"/>
            <w:tcBorders>
              <w:top w:val="single" w:sz="4" w:space="0" w:color="auto"/>
              <w:left w:val="single" w:sz="4" w:space="0" w:color="auto"/>
              <w:bottom w:val="single" w:sz="4" w:space="0" w:color="auto"/>
              <w:right w:val="single" w:sz="4" w:space="0" w:color="auto"/>
            </w:tcBorders>
            <w:noWrap/>
            <w:hideMark/>
          </w:tcPr>
          <w:p w14:paraId="406A227A" w14:textId="77777777" w:rsidR="00FA2F99" w:rsidRPr="002F7BCB" w:rsidRDefault="00FA2F99"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noWrap/>
            <w:hideMark/>
          </w:tcPr>
          <w:p w14:paraId="42B97CAF" w14:textId="77777777" w:rsidR="00FA2F99" w:rsidRPr="002F7BCB" w:rsidRDefault="00FA2F99" w:rsidP="00FA2F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AFI</w:t>
            </w:r>
          </w:p>
        </w:tc>
      </w:tr>
      <w:tr w:rsidR="00FA2F99" w:rsidRPr="002F7BCB" w14:paraId="4365BE3B" w14:textId="77777777" w:rsidTr="00DB3FD4">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3708"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1DA5334D" w14:textId="77777777" w:rsidR="00FA2F99" w:rsidRPr="002F7BCB" w:rsidRDefault="00FA2F99" w:rsidP="00FA2F99">
            <w:pPr>
              <w:numPr>
                <w:ilvl w:val="0"/>
                <w:numId w:val="1"/>
              </w:numPr>
              <w:ind w:left="360" w:hanging="180"/>
              <w:contextualSpacing/>
              <w:jc w:val="both"/>
              <w:rPr>
                <w:rFonts w:asciiTheme="minorHAnsi" w:eastAsiaTheme="minorEastAsia" w:hAnsiTheme="minorHAnsi"/>
                <w:color w:val="000000"/>
                <w:sz w:val="18"/>
                <w:szCs w:val="18"/>
              </w:rPr>
            </w:pPr>
            <w:r w:rsidRPr="002F7BCB">
              <w:rPr>
                <w:rFonts w:asciiTheme="minorHAnsi" w:eastAsiaTheme="minorEastAsia" w:hAnsiTheme="minorHAnsi"/>
                <w:color w:val="000000"/>
                <w:sz w:val="18"/>
                <w:szCs w:val="18"/>
              </w:rPr>
              <w:t>Number of ATMs per 1,000 km²</w:t>
            </w:r>
          </w:p>
        </w:tc>
        <w:tc>
          <w:tcPr>
            <w:tcW w:w="1530" w:type="dxa"/>
            <w:tcBorders>
              <w:top w:val="single" w:sz="4" w:space="0" w:color="auto"/>
              <w:left w:val="single" w:sz="4" w:space="0" w:color="auto"/>
              <w:bottom w:val="single" w:sz="4" w:space="0" w:color="auto"/>
              <w:right w:val="single" w:sz="4" w:space="0" w:color="auto"/>
            </w:tcBorders>
            <w:noWrap/>
            <w:hideMark/>
          </w:tcPr>
          <w:p w14:paraId="65ADE1D1" w14:textId="0226700E" w:rsidR="00FA2F99" w:rsidRPr="002F7BCB" w:rsidRDefault="0001007A" w:rsidP="00FA2F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Pr>
                <w:rFonts w:asciiTheme="minorHAnsi" w:hAnsiTheme="minorHAnsi"/>
                <w:color w:val="000000"/>
                <w:sz w:val="18"/>
                <w:szCs w:val="18"/>
              </w:rPr>
              <w:t>14.84</w:t>
            </w:r>
          </w:p>
        </w:tc>
        <w:tc>
          <w:tcPr>
            <w:tcW w:w="1391" w:type="dxa"/>
            <w:tcBorders>
              <w:top w:val="single" w:sz="4" w:space="0" w:color="auto"/>
              <w:left w:val="single" w:sz="4" w:space="0" w:color="auto"/>
              <w:bottom w:val="single" w:sz="4" w:space="0" w:color="auto"/>
              <w:right w:val="single" w:sz="4" w:space="0" w:color="auto"/>
            </w:tcBorders>
            <w:noWrap/>
            <w:hideMark/>
          </w:tcPr>
          <w:p w14:paraId="5ABD0EC1" w14:textId="5137E1F6" w:rsidR="00FA2F99" w:rsidRPr="002F7BCB" w:rsidRDefault="00E8206F" w:rsidP="00FA2F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Pr>
                <w:rFonts w:asciiTheme="minorHAnsi" w:hAnsiTheme="minorHAnsi"/>
                <w:color w:val="000000"/>
                <w:sz w:val="18"/>
                <w:szCs w:val="18"/>
              </w:rPr>
              <w:t>13.07</w:t>
            </w:r>
          </w:p>
        </w:tc>
        <w:tc>
          <w:tcPr>
            <w:tcW w:w="1417" w:type="dxa"/>
            <w:tcBorders>
              <w:top w:val="single" w:sz="4" w:space="0" w:color="auto"/>
              <w:left w:val="single" w:sz="4" w:space="0" w:color="auto"/>
              <w:bottom w:val="single" w:sz="4" w:space="0" w:color="auto"/>
              <w:right w:val="single" w:sz="4" w:space="0" w:color="auto"/>
            </w:tcBorders>
            <w:noWrap/>
            <w:hideMark/>
          </w:tcPr>
          <w:p w14:paraId="21EBD74F" w14:textId="77777777" w:rsidR="00FA2F99" w:rsidRPr="002F7BCB" w:rsidRDefault="00FA2F99" w:rsidP="00FA2F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noWrap/>
            <w:hideMark/>
          </w:tcPr>
          <w:p w14:paraId="6FAFB954" w14:textId="77777777" w:rsidR="00FA2F99" w:rsidRPr="002F7BCB" w:rsidRDefault="00FA2F99" w:rsidP="00FA2F9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AFI</w:t>
            </w:r>
          </w:p>
        </w:tc>
      </w:tr>
      <w:tr w:rsidR="00FA2F99" w:rsidRPr="002F7BCB" w14:paraId="18F6FE36" w14:textId="77777777" w:rsidTr="00DB3FD4">
        <w:trPr>
          <w:trHeight w:val="416"/>
        </w:trPr>
        <w:tc>
          <w:tcPr>
            <w:cnfStyle w:val="001000000000" w:firstRow="0" w:lastRow="0" w:firstColumn="1" w:lastColumn="0" w:oddVBand="0" w:evenVBand="0" w:oddHBand="0" w:evenHBand="0" w:firstRowFirstColumn="0" w:firstRowLastColumn="0" w:lastRowFirstColumn="0" w:lastRowLastColumn="0"/>
            <w:tcW w:w="3708"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313FBADF" w14:textId="77777777" w:rsidR="00FA2F99" w:rsidRPr="002F7BCB" w:rsidRDefault="00FA2F99" w:rsidP="00FA2F99">
            <w:pPr>
              <w:numPr>
                <w:ilvl w:val="0"/>
                <w:numId w:val="1"/>
              </w:numPr>
              <w:ind w:left="360" w:hanging="180"/>
              <w:contextualSpacing/>
              <w:jc w:val="both"/>
              <w:rPr>
                <w:rFonts w:asciiTheme="minorHAnsi" w:eastAsiaTheme="minorEastAsia" w:hAnsiTheme="minorHAnsi"/>
                <w:color w:val="000000"/>
                <w:sz w:val="18"/>
                <w:szCs w:val="18"/>
              </w:rPr>
            </w:pPr>
            <w:r w:rsidRPr="002F7BCB">
              <w:rPr>
                <w:rFonts w:asciiTheme="minorHAnsi" w:eastAsiaTheme="minorEastAsia" w:hAnsiTheme="minorHAnsi"/>
                <w:color w:val="000000"/>
                <w:sz w:val="18"/>
                <w:szCs w:val="18"/>
              </w:rPr>
              <w:t>Number of EFTPOS per 1,000 km²</w:t>
            </w:r>
          </w:p>
        </w:tc>
        <w:tc>
          <w:tcPr>
            <w:tcW w:w="1530" w:type="dxa"/>
            <w:tcBorders>
              <w:top w:val="single" w:sz="4" w:space="0" w:color="auto"/>
              <w:left w:val="single" w:sz="4" w:space="0" w:color="auto"/>
              <w:bottom w:val="single" w:sz="4" w:space="0" w:color="auto"/>
              <w:right w:val="single" w:sz="4" w:space="0" w:color="auto"/>
            </w:tcBorders>
            <w:noWrap/>
            <w:hideMark/>
          </w:tcPr>
          <w:p w14:paraId="74F0C3E4" w14:textId="17CDB711" w:rsidR="00FA2F99" w:rsidRPr="002F7BCB" w:rsidRDefault="0001007A"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Pr>
                <w:rFonts w:asciiTheme="minorHAnsi" w:hAnsiTheme="minorHAnsi"/>
                <w:color w:val="000000"/>
                <w:sz w:val="18"/>
                <w:szCs w:val="18"/>
              </w:rPr>
              <w:t>238.16</w:t>
            </w:r>
          </w:p>
        </w:tc>
        <w:tc>
          <w:tcPr>
            <w:tcW w:w="1391" w:type="dxa"/>
            <w:tcBorders>
              <w:top w:val="single" w:sz="4" w:space="0" w:color="auto"/>
              <w:left w:val="single" w:sz="4" w:space="0" w:color="auto"/>
              <w:bottom w:val="single" w:sz="4" w:space="0" w:color="auto"/>
              <w:right w:val="single" w:sz="4" w:space="0" w:color="auto"/>
            </w:tcBorders>
            <w:noWrap/>
            <w:hideMark/>
          </w:tcPr>
          <w:p w14:paraId="5397FB96" w14:textId="67E474BB" w:rsidR="00FA2F99" w:rsidRPr="002F7BCB" w:rsidRDefault="00E8206F"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Pr>
                <w:rFonts w:asciiTheme="minorHAnsi" w:hAnsiTheme="minorHAnsi"/>
                <w:color w:val="000000"/>
                <w:sz w:val="18"/>
                <w:szCs w:val="18"/>
              </w:rPr>
              <w:t>226.15</w:t>
            </w:r>
          </w:p>
        </w:tc>
        <w:tc>
          <w:tcPr>
            <w:tcW w:w="1417" w:type="dxa"/>
            <w:tcBorders>
              <w:top w:val="single" w:sz="4" w:space="0" w:color="auto"/>
              <w:left w:val="single" w:sz="4" w:space="0" w:color="auto"/>
              <w:bottom w:val="single" w:sz="4" w:space="0" w:color="auto"/>
              <w:right w:val="single" w:sz="4" w:space="0" w:color="auto"/>
            </w:tcBorders>
            <w:noWrap/>
            <w:hideMark/>
          </w:tcPr>
          <w:p w14:paraId="089B89C7" w14:textId="77777777" w:rsidR="00FA2F99" w:rsidRPr="002F7BCB" w:rsidRDefault="00FA2F99"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noWrap/>
            <w:hideMark/>
          </w:tcPr>
          <w:p w14:paraId="52015A6E" w14:textId="77777777" w:rsidR="00FA2F99" w:rsidRPr="002F7BCB" w:rsidRDefault="00FA2F99" w:rsidP="00FA2F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AFI</w:t>
            </w:r>
          </w:p>
        </w:tc>
      </w:tr>
      <w:tr w:rsidR="00FA2F99" w:rsidRPr="002F7BCB" w14:paraId="33922EAA" w14:textId="77777777" w:rsidTr="00DB3FD4">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3708"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568325B2" w14:textId="77777777" w:rsidR="00FA2F99" w:rsidRPr="002F7BCB" w:rsidRDefault="00FA2F99" w:rsidP="00FA2F99">
            <w:pPr>
              <w:numPr>
                <w:ilvl w:val="0"/>
                <w:numId w:val="1"/>
              </w:numPr>
              <w:ind w:left="360" w:hanging="180"/>
              <w:contextualSpacing/>
              <w:jc w:val="both"/>
              <w:rPr>
                <w:rFonts w:asciiTheme="minorHAnsi" w:eastAsiaTheme="minorEastAsia" w:hAnsiTheme="minorHAnsi"/>
                <w:color w:val="000000"/>
                <w:sz w:val="18"/>
                <w:szCs w:val="18"/>
              </w:rPr>
            </w:pPr>
            <w:r w:rsidRPr="002F7BCB">
              <w:rPr>
                <w:rFonts w:asciiTheme="minorHAnsi" w:eastAsiaTheme="minorEastAsia" w:hAnsiTheme="minorHAnsi"/>
                <w:color w:val="000000"/>
                <w:sz w:val="18"/>
                <w:szCs w:val="18"/>
              </w:rPr>
              <w:t>Number of Agents per 1,000 km²</w:t>
            </w:r>
          </w:p>
        </w:tc>
        <w:tc>
          <w:tcPr>
            <w:tcW w:w="1530" w:type="dxa"/>
            <w:tcBorders>
              <w:top w:val="single" w:sz="4" w:space="0" w:color="auto"/>
              <w:left w:val="single" w:sz="4" w:space="0" w:color="auto"/>
              <w:bottom w:val="single" w:sz="4" w:space="0" w:color="auto"/>
              <w:right w:val="single" w:sz="4" w:space="0" w:color="auto"/>
            </w:tcBorders>
            <w:noWrap/>
            <w:hideMark/>
          </w:tcPr>
          <w:p w14:paraId="004A13D5" w14:textId="669A7AE4" w:rsidR="00FA2F99" w:rsidRPr="002F7BCB" w:rsidRDefault="0001007A" w:rsidP="00FA2F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Pr>
                <w:rFonts w:asciiTheme="minorHAnsi" w:hAnsiTheme="minorHAnsi"/>
                <w:color w:val="000000"/>
                <w:sz w:val="18"/>
                <w:szCs w:val="18"/>
              </w:rPr>
              <w:t>14.13</w:t>
            </w:r>
          </w:p>
        </w:tc>
        <w:tc>
          <w:tcPr>
            <w:tcW w:w="1391" w:type="dxa"/>
            <w:tcBorders>
              <w:top w:val="single" w:sz="4" w:space="0" w:color="auto"/>
              <w:left w:val="single" w:sz="4" w:space="0" w:color="auto"/>
              <w:bottom w:val="single" w:sz="4" w:space="0" w:color="auto"/>
              <w:right w:val="single" w:sz="4" w:space="0" w:color="auto"/>
            </w:tcBorders>
            <w:noWrap/>
            <w:hideMark/>
          </w:tcPr>
          <w:p w14:paraId="34E770A7" w14:textId="425F0605" w:rsidR="00FA2F99" w:rsidRPr="002F7BCB" w:rsidRDefault="00E8206F" w:rsidP="00FA2F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Pr>
                <w:rFonts w:asciiTheme="minorHAnsi" w:hAnsiTheme="minorHAnsi"/>
                <w:color w:val="000000"/>
                <w:sz w:val="18"/>
                <w:szCs w:val="18"/>
              </w:rPr>
              <w:t>26.15</w:t>
            </w:r>
          </w:p>
        </w:tc>
        <w:tc>
          <w:tcPr>
            <w:tcW w:w="1417" w:type="dxa"/>
            <w:tcBorders>
              <w:top w:val="single" w:sz="4" w:space="0" w:color="auto"/>
              <w:left w:val="single" w:sz="4" w:space="0" w:color="auto"/>
              <w:bottom w:val="single" w:sz="4" w:space="0" w:color="auto"/>
              <w:right w:val="single" w:sz="4" w:space="0" w:color="auto"/>
            </w:tcBorders>
            <w:noWrap/>
            <w:hideMark/>
          </w:tcPr>
          <w:p w14:paraId="2DD978D5" w14:textId="77777777" w:rsidR="00FA2F99" w:rsidRPr="002F7BCB" w:rsidRDefault="00FA2F99" w:rsidP="00FA2F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noWrap/>
            <w:hideMark/>
          </w:tcPr>
          <w:p w14:paraId="0AFD5428" w14:textId="77777777" w:rsidR="00FA2F99" w:rsidRPr="002F7BCB" w:rsidRDefault="00FA2F99" w:rsidP="00FA2F9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AFI</w:t>
            </w:r>
          </w:p>
        </w:tc>
      </w:tr>
      <w:tr w:rsidR="00FA2F99" w:rsidRPr="002F7BCB" w14:paraId="0A145F4F" w14:textId="77777777" w:rsidTr="00E02E48">
        <w:trPr>
          <w:trHeight w:val="600"/>
        </w:trPr>
        <w:tc>
          <w:tcPr>
            <w:cnfStyle w:val="001000000000" w:firstRow="0" w:lastRow="0" w:firstColumn="1" w:lastColumn="0" w:oddVBand="0" w:evenVBand="0" w:oddHBand="0" w:evenHBand="0" w:firstRowFirstColumn="0" w:firstRowLastColumn="0" w:lastRowFirstColumn="0" w:lastRowLastColumn="0"/>
            <w:tcW w:w="3708"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0A150913" w14:textId="77777777" w:rsidR="00FA2F99" w:rsidRPr="002F7BCB" w:rsidRDefault="00FA2F99" w:rsidP="00FA2F99">
            <w:pPr>
              <w:rPr>
                <w:rFonts w:asciiTheme="minorHAnsi" w:hAnsiTheme="minorHAnsi"/>
                <w:color w:val="000000"/>
                <w:sz w:val="18"/>
                <w:szCs w:val="18"/>
              </w:rPr>
            </w:pPr>
            <w:r w:rsidRPr="002F7BCB">
              <w:rPr>
                <w:rFonts w:asciiTheme="minorHAnsi" w:hAnsiTheme="minorHAnsi"/>
                <w:color w:val="000000"/>
                <w:sz w:val="18"/>
                <w:szCs w:val="18"/>
              </w:rPr>
              <w:t xml:space="preserve">3.1   Number of mobile financial services  access points per 10,000 adults </w:t>
            </w:r>
          </w:p>
        </w:tc>
        <w:tc>
          <w:tcPr>
            <w:tcW w:w="1530" w:type="dxa"/>
            <w:tcBorders>
              <w:top w:val="single" w:sz="4" w:space="0" w:color="auto"/>
              <w:left w:val="single" w:sz="4" w:space="0" w:color="auto"/>
              <w:bottom w:val="single" w:sz="4" w:space="0" w:color="auto"/>
              <w:right w:val="single" w:sz="4" w:space="0" w:color="auto"/>
            </w:tcBorders>
            <w:noWrap/>
            <w:hideMark/>
          </w:tcPr>
          <w:p w14:paraId="6409E528" w14:textId="14A420E6" w:rsidR="00FA2F99" w:rsidRPr="002F7BCB" w:rsidRDefault="0001007A"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Pr>
                <w:rFonts w:asciiTheme="minorHAnsi" w:hAnsiTheme="minorHAnsi"/>
                <w:color w:val="000000"/>
                <w:sz w:val="18"/>
                <w:szCs w:val="18"/>
              </w:rPr>
              <w:t>1.42</w:t>
            </w:r>
          </w:p>
        </w:tc>
        <w:tc>
          <w:tcPr>
            <w:tcW w:w="1391" w:type="dxa"/>
            <w:tcBorders>
              <w:top w:val="single" w:sz="4" w:space="0" w:color="auto"/>
              <w:left w:val="single" w:sz="4" w:space="0" w:color="auto"/>
              <w:bottom w:val="single" w:sz="4" w:space="0" w:color="auto"/>
              <w:right w:val="single" w:sz="4" w:space="0" w:color="auto"/>
            </w:tcBorders>
            <w:noWrap/>
            <w:hideMark/>
          </w:tcPr>
          <w:p w14:paraId="6AA925C4" w14:textId="5276D0B9" w:rsidR="00FA2F99" w:rsidRPr="002F7BCB" w:rsidRDefault="00E8206F"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Pr>
                <w:rFonts w:asciiTheme="minorHAnsi" w:hAnsiTheme="minorHAnsi"/>
                <w:color w:val="000000"/>
                <w:sz w:val="18"/>
                <w:szCs w:val="18"/>
              </w:rPr>
              <w:t>0.84</w:t>
            </w:r>
          </w:p>
        </w:tc>
        <w:tc>
          <w:tcPr>
            <w:tcW w:w="1417" w:type="dxa"/>
            <w:tcBorders>
              <w:top w:val="single" w:sz="4" w:space="0" w:color="auto"/>
              <w:left w:val="single" w:sz="4" w:space="0" w:color="auto"/>
              <w:bottom w:val="single" w:sz="4" w:space="0" w:color="auto"/>
              <w:right w:val="single" w:sz="4" w:space="0" w:color="auto"/>
            </w:tcBorders>
            <w:noWrap/>
            <w:hideMark/>
          </w:tcPr>
          <w:p w14:paraId="761AC22B" w14:textId="77777777" w:rsidR="00FA2F99" w:rsidRPr="002F7BCB" w:rsidRDefault="00FA2F99"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noWrap/>
            <w:hideMark/>
          </w:tcPr>
          <w:p w14:paraId="7B97D006" w14:textId="77777777" w:rsidR="00FA2F99" w:rsidRPr="002F7BCB" w:rsidRDefault="00FA2F99" w:rsidP="00FA2F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PIRI</w:t>
            </w:r>
          </w:p>
        </w:tc>
      </w:tr>
      <w:tr w:rsidR="00FA2F99" w:rsidRPr="002F7BCB" w14:paraId="2E0A48BA" w14:textId="77777777" w:rsidTr="000876D4">
        <w:trPr>
          <w:cnfStyle w:val="000000100000" w:firstRow="0" w:lastRow="0" w:firstColumn="0" w:lastColumn="0" w:oddVBand="0" w:evenVBand="0" w:oddHBand="1" w:evenHBand="0" w:firstRowFirstColumn="0" w:firstRowLastColumn="0" w:lastRowFirstColumn="0" w:lastRowLastColumn="0"/>
          <w:trHeight w:val="814"/>
        </w:trPr>
        <w:tc>
          <w:tcPr>
            <w:cnfStyle w:val="001000000000" w:firstRow="0" w:lastRow="0" w:firstColumn="1" w:lastColumn="0" w:oddVBand="0" w:evenVBand="0" w:oddHBand="0" w:evenHBand="0" w:firstRowFirstColumn="0" w:firstRowLastColumn="0" w:lastRowFirstColumn="0" w:lastRowLastColumn="0"/>
            <w:tcW w:w="3708"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091D389A" w14:textId="29CCC2AC" w:rsidR="00FA2F99" w:rsidRPr="002F7BCB" w:rsidRDefault="00FA2F99" w:rsidP="00FA2F99">
            <w:pPr>
              <w:rPr>
                <w:rFonts w:asciiTheme="minorHAnsi" w:hAnsiTheme="minorHAnsi"/>
                <w:color w:val="000000"/>
                <w:sz w:val="18"/>
                <w:szCs w:val="18"/>
              </w:rPr>
            </w:pPr>
            <w:r w:rsidRPr="002F7BCB">
              <w:rPr>
                <w:rFonts w:asciiTheme="minorHAnsi" w:hAnsiTheme="minorHAnsi"/>
                <w:color w:val="000000"/>
                <w:sz w:val="18"/>
                <w:szCs w:val="18"/>
              </w:rPr>
              <w:t xml:space="preserve">4.1. Average minimum balance for clients to open a basic deposit account at banks in the </w:t>
            </w:r>
            <w:r w:rsidRPr="002F7BCB">
              <w:rPr>
                <w:rFonts w:asciiTheme="minorHAnsi" w:hAnsiTheme="minorHAnsi"/>
                <w:color w:val="000000" w:themeColor="text1"/>
                <w:sz w:val="18"/>
                <w:szCs w:val="18"/>
              </w:rPr>
              <w:t xml:space="preserve">country, converted to USD </w:t>
            </w:r>
            <w:r w:rsidR="0065277F">
              <w:rPr>
                <w:rStyle w:val="FootnoteReference"/>
                <w:rFonts w:asciiTheme="minorHAnsi" w:hAnsiTheme="minorHAnsi"/>
                <w:color w:val="000000"/>
                <w:sz w:val="18"/>
                <w:szCs w:val="18"/>
              </w:rPr>
              <w:footnoteReference w:id="6"/>
            </w:r>
          </w:p>
        </w:tc>
        <w:tc>
          <w:tcPr>
            <w:tcW w:w="1530" w:type="dxa"/>
            <w:tcBorders>
              <w:top w:val="single" w:sz="4" w:space="0" w:color="auto"/>
              <w:left w:val="single" w:sz="4" w:space="0" w:color="auto"/>
              <w:bottom w:val="single" w:sz="4" w:space="0" w:color="auto"/>
              <w:right w:val="single" w:sz="4" w:space="0" w:color="auto"/>
            </w:tcBorders>
            <w:noWrap/>
            <w:hideMark/>
          </w:tcPr>
          <w:p w14:paraId="41111335" w14:textId="0D3EE50C" w:rsidR="00FA2F99" w:rsidRPr="002F7BCB" w:rsidRDefault="00223E81" w:rsidP="00FA2F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Pr>
                <w:rFonts w:asciiTheme="minorHAnsi" w:hAnsiTheme="minorHAnsi"/>
                <w:color w:val="000000"/>
                <w:sz w:val="18"/>
                <w:szCs w:val="18"/>
              </w:rPr>
              <w:t>$22</w:t>
            </w:r>
            <w:r w:rsidR="00FA2F99" w:rsidRPr="002F7BCB">
              <w:rPr>
                <w:rFonts w:asciiTheme="minorHAnsi" w:hAnsiTheme="minorHAnsi"/>
                <w:color w:val="000000"/>
                <w:sz w:val="18"/>
                <w:szCs w:val="18"/>
              </w:rPr>
              <w:t xml:space="preserve">.00 </w:t>
            </w:r>
          </w:p>
        </w:tc>
        <w:tc>
          <w:tcPr>
            <w:tcW w:w="1391" w:type="dxa"/>
            <w:tcBorders>
              <w:top w:val="single" w:sz="4" w:space="0" w:color="auto"/>
              <w:left w:val="single" w:sz="4" w:space="0" w:color="auto"/>
              <w:bottom w:val="single" w:sz="4" w:space="0" w:color="auto"/>
              <w:right w:val="single" w:sz="4" w:space="0" w:color="auto"/>
            </w:tcBorders>
            <w:noWrap/>
            <w:hideMark/>
          </w:tcPr>
          <w:p w14:paraId="471AB8FC" w14:textId="68A7B280" w:rsidR="00FA2F99" w:rsidRPr="002F7BCB" w:rsidRDefault="00E8206F" w:rsidP="00FA2F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Pr>
                <w:rFonts w:asciiTheme="minorHAnsi" w:hAnsiTheme="minorHAnsi"/>
                <w:color w:val="000000"/>
                <w:sz w:val="18"/>
                <w:szCs w:val="18"/>
              </w:rPr>
              <w:t>$22.00</w:t>
            </w:r>
            <w:r w:rsidR="00FA2F99" w:rsidRPr="002F7BCB">
              <w:rPr>
                <w:rFonts w:asciiTheme="minorHAnsi" w:hAnsiTheme="minorHAnsi"/>
                <w:color w:val="000000"/>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noWrap/>
            <w:hideMark/>
          </w:tcPr>
          <w:p w14:paraId="6737887E" w14:textId="77777777" w:rsidR="00FA2F99" w:rsidRPr="002F7BCB" w:rsidRDefault="00FA2F99" w:rsidP="00FA2F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noWrap/>
            <w:hideMark/>
          </w:tcPr>
          <w:p w14:paraId="587C27A8" w14:textId="77777777" w:rsidR="00FA2F99" w:rsidRPr="002F7BCB" w:rsidRDefault="00FA2F99" w:rsidP="00FA2F9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PIRI</w:t>
            </w:r>
          </w:p>
        </w:tc>
      </w:tr>
      <w:tr w:rsidR="00FA2F99" w:rsidRPr="002F7BCB" w14:paraId="3BF94436" w14:textId="77777777" w:rsidTr="0090714B">
        <w:trPr>
          <w:trHeight w:val="1125"/>
        </w:trPr>
        <w:tc>
          <w:tcPr>
            <w:cnfStyle w:val="001000000000" w:firstRow="0" w:lastRow="0" w:firstColumn="1" w:lastColumn="0" w:oddVBand="0" w:evenVBand="0" w:oddHBand="0" w:evenHBand="0" w:firstRowFirstColumn="0" w:firstRowLastColumn="0" w:lastRowFirstColumn="0" w:lastRowLastColumn="0"/>
            <w:tcW w:w="1854"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B94C23D" w14:textId="77777777" w:rsidR="00FA2F99" w:rsidRPr="002F7BCB" w:rsidRDefault="00FA2F99" w:rsidP="00FA2F99">
            <w:pPr>
              <w:rPr>
                <w:rFonts w:asciiTheme="minorHAnsi" w:hAnsiTheme="minorHAnsi"/>
                <w:color w:val="000000"/>
                <w:sz w:val="18"/>
                <w:szCs w:val="18"/>
                <w:vertAlign w:val="superscript"/>
              </w:rPr>
            </w:pPr>
            <w:r w:rsidRPr="002F7BCB">
              <w:rPr>
                <w:rFonts w:asciiTheme="minorHAnsi" w:hAnsiTheme="minorHAnsi"/>
                <w:color w:val="000000"/>
                <w:sz w:val="18"/>
                <w:szCs w:val="18"/>
              </w:rPr>
              <w:t>4.3. Average cost of traveling to the nearest access point (public transit fee or gas costs), converted to USD</w:t>
            </w:r>
          </w:p>
        </w:tc>
        <w:tc>
          <w:tcPr>
            <w:tcW w:w="1854" w:type="dxa"/>
            <w:tcBorders>
              <w:top w:val="single" w:sz="4" w:space="0" w:color="auto"/>
              <w:left w:val="single" w:sz="4" w:space="0" w:color="auto"/>
              <w:bottom w:val="nil"/>
              <w:right w:val="single" w:sz="4" w:space="0" w:color="auto"/>
            </w:tcBorders>
            <w:vAlign w:val="center"/>
          </w:tcPr>
          <w:p w14:paraId="74EC809D" w14:textId="77777777" w:rsidR="00FA2F99" w:rsidRPr="002F7BCB" w:rsidRDefault="00FA2F99" w:rsidP="00FA2F99">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18"/>
              </w:rPr>
            </w:pPr>
          </w:p>
          <w:p w14:paraId="300EFACD" w14:textId="77777777" w:rsidR="00FA2F99" w:rsidRPr="002F7BCB" w:rsidRDefault="00FA2F99" w:rsidP="00FA2F99">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000000" w:themeColor="text1"/>
                <w:sz w:val="18"/>
                <w:szCs w:val="18"/>
              </w:rPr>
            </w:pPr>
            <w:r w:rsidRPr="002F7BCB">
              <w:rPr>
                <w:rFonts w:asciiTheme="minorHAnsi" w:hAnsiTheme="minorHAnsi"/>
                <w:bCs/>
                <w:color w:val="000000" w:themeColor="text1"/>
                <w:sz w:val="18"/>
                <w:szCs w:val="18"/>
              </w:rPr>
              <w:t>Bank Branch</w:t>
            </w:r>
          </w:p>
          <w:p w14:paraId="49B85660" w14:textId="77777777" w:rsidR="00FA2F99" w:rsidRPr="002F7BCB" w:rsidRDefault="00FA2F99" w:rsidP="00FA2F99">
            <w:pPr>
              <w:ind w:left="720"/>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18"/>
              </w:rPr>
            </w:pPr>
          </w:p>
          <w:p w14:paraId="3FD67ACA" w14:textId="77777777" w:rsidR="00FA2F99" w:rsidRPr="002F7BCB" w:rsidRDefault="00FA2F99" w:rsidP="00FA2F99">
            <w:pPr>
              <w:ind w:left="720"/>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18"/>
              </w:rPr>
            </w:pPr>
          </w:p>
          <w:p w14:paraId="22317006" w14:textId="77777777" w:rsidR="00FA2F99" w:rsidRPr="002F7BCB" w:rsidRDefault="00FA2F99" w:rsidP="00FA2F99">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18"/>
              </w:rPr>
            </w:pPr>
          </w:p>
          <w:p w14:paraId="5DA36B72" w14:textId="77777777" w:rsidR="00FA2F99" w:rsidRPr="002F7BCB" w:rsidRDefault="00FA2F99" w:rsidP="00FA2F99">
            <w:pPr>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FFFFFF" w:themeColor="background1"/>
                <w:sz w:val="18"/>
                <w:szCs w:val="18"/>
              </w:rPr>
            </w:pPr>
          </w:p>
        </w:tc>
        <w:tc>
          <w:tcPr>
            <w:tcW w:w="1530" w:type="dxa"/>
            <w:tcBorders>
              <w:top w:val="single" w:sz="4" w:space="0" w:color="auto"/>
              <w:left w:val="single" w:sz="4" w:space="0" w:color="auto"/>
              <w:bottom w:val="single" w:sz="4" w:space="0" w:color="auto"/>
              <w:right w:val="single" w:sz="4" w:space="0" w:color="auto"/>
            </w:tcBorders>
            <w:noWrap/>
          </w:tcPr>
          <w:p w14:paraId="615DE960" w14:textId="77777777" w:rsidR="00FA2F99" w:rsidRPr="002F7BCB" w:rsidRDefault="00FA2F99"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p>
        </w:tc>
        <w:tc>
          <w:tcPr>
            <w:tcW w:w="1391" w:type="dxa"/>
            <w:tcBorders>
              <w:top w:val="single" w:sz="4" w:space="0" w:color="auto"/>
              <w:left w:val="single" w:sz="4" w:space="0" w:color="auto"/>
              <w:bottom w:val="single" w:sz="4" w:space="0" w:color="auto"/>
              <w:right w:val="single" w:sz="4" w:space="0" w:color="auto"/>
            </w:tcBorders>
            <w:noWrap/>
          </w:tcPr>
          <w:p w14:paraId="6ACEF678" w14:textId="77777777" w:rsidR="00FA2F99" w:rsidRPr="002F7BCB" w:rsidRDefault="00FA2F99"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noWrap/>
          </w:tcPr>
          <w:p w14:paraId="20D23755" w14:textId="77777777" w:rsidR="00FA2F99" w:rsidRPr="002F7BCB" w:rsidRDefault="00FA2F99"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 xml:space="preserve"> $2.2 USD (WST 5.00)</w:t>
            </w:r>
          </w:p>
        </w:tc>
        <w:tc>
          <w:tcPr>
            <w:tcW w:w="1701" w:type="dxa"/>
            <w:tcBorders>
              <w:top w:val="single" w:sz="4" w:space="0" w:color="auto"/>
              <w:left w:val="single" w:sz="4" w:space="0" w:color="auto"/>
              <w:bottom w:val="single" w:sz="4" w:space="0" w:color="auto"/>
              <w:right w:val="single" w:sz="4" w:space="0" w:color="auto"/>
            </w:tcBorders>
            <w:noWrap/>
          </w:tcPr>
          <w:p w14:paraId="3BA17459" w14:textId="77777777" w:rsidR="00FA2F99" w:rsidRPr="002F7BCB" w:rsidRDefault="00FA2F99" w:rsidP="00FA2F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PIRI</w:t>
            </w:r>
          </w:p>
        </w:tc>
      </w:tr>
      <w:tr w:rsidR="00FA2F99" w:rsidRPr="002F7BCB" w14:paraId="56DEA13C" w14:textId="77777777" w:rsidTr="0090714B">
        <w:trPr>
          <w:cnfStyle w:val="000000100000" w:firstRow="0" w:lastRow="0" w:firstColumn="0" w:lastColumn="0" w:oddVBand="0" w:evenVBand="0" w:oddHBand="1" w:evenHBand="0" w:firstRowFirstColumn="0" w:firstRowLastColumn="0" w:lastRowFirstColumn="0" w:lastRowLastColumn="0"/>
          <w:trHeight w:val="789"/>
        </w:trPr>
        <w:tc>
          <w:tcPr>
            <w:cnfStyle w:val="001000000000" w:firstRow="0" w:lastRow="0" w:firstColumn="1" w:lastColumn="0" w:oddVBand="0" w:evenVBand="0" w:oddHBand="0" w:evenHBand="0" w:firstRowFirstColumn="0" w:firstRowLastColumn="0" w:lastRowFirstColumn="0" w:lastRowLastColumn="0"/>
            <w:tcW w:w="1854"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4BAA933" w14:textId="77777777" w:rsidR="00FA2F99" w:rsidRPr="002F7BCB" w:rsidRDefault="00FA2F99" w:rsidP="00FA2F99">
            <w:pPr>
              <w:rPr>
                <w:rFonts w:asciiTheme="minorHAnsi" w:hAnsiTheme="minorHAnsi"/>
                <w:color w:val="000000"/>
                <w:sz w:val="18"/>
                <w:szCs w:val="18"/>
              </w:rPr>
            </w:pPr>
          </w:p>
        </w:tc>
        <w:tc>
          <w:tcPr>
            <w:tcW w:w="1854" w:type="dxa"/>
            <w:tcBorders>
              <w:top w:val="nil"/>
              <w:left w:val="single" w:sz="4" w:space="0" w:color="auto"/>
              <w:bottom w:val="single" w:sz="4" w:space="0" w:color="auto"/>
              <w:right w:val="single" w:sz="4" w:space="0" w:color="auto"/>
            </w:tcBorders>
            <w:vAlign w:val="center"/>
          </w:tcPr>
          <w:p w14:paraId="67FA04B5" w14:textId="77777777" w:rsidR="00FA2F99" w:rsidRPr="002F7BCB" w:rsidRDefault="00FA2F99" w:rsidP="00FA2F99">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bCs/>
                <w:color w:val="000000" w:themeColor="text1"/>
                <w:sz w:val="18"/>
                <w:szCs w:val="18"/>
              </w:rPr>
              <w:t>ATM</w:t>
            </w:r>
          </w:p>
        </w:tc>
        <w:tc>
          <w:tcPr>
            <w:tcW w:w="1530" w:type="dxa"/>
            <w:tcBorders>
              <w:top w:val="single" w:sz="4" w:space="0" w:color="auto"/>
              <w:left w:val="single" w:sz="4" w:space="0" w:color="auto"/>
              <w:bottom w:val="single" w:sz="4" w:space="0" w:color="auto"/>
              <w:right w:val="single" w:sz="4" w:space="0" w:color="auto"/>
            </w:tcBorders>
            <w:noWrap/>
          </w:tcPr>
          <w:p w14:paraId="7D938544" w14:textId="77777777" w:rsidR="00FA2F99" w:rsidRPr="002F7BCB" w:rsidRDefault="00FA2F99" w:rsidP="00FA2F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p>
        </w:tc>
        <w:tc>
          <w:tcPr>
            <w:tcW w:w="1391" w:type="dxa"/>
            <w:tcBorders>
              <w:top w:val="single" w:sz="4" w:space="0" w:color="auto"/>
              <w:left w:val="single" w:sz="4" w:space="0" w:color="auto"/>
              <w:bottom w:val="single" w:sz="4" w:space="0" w:color="auto"/>
              <w:right w:val="single" w:sz="4" w:space="0" w:color="auto"/>
            </w:tcBorders>
            <w:noWrap/>
          </w:tcPr>
          <w:p w14:paraId="1F6C8907" w14:textId="77777777" w:rsidR="00FA2F99" w:rsidRPr="002F7BCB" w:rsidRDefault="00FA2F99" w:rsidP="00FA2F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noWrap/>
          </w:tcPr>
          <w:p w14:paraId="21D186AB" w14:textId="77777777" w:rsidR="00FA2F99" w:rsidRPr="002F7BCB" w:rsidRDefault="00FA2F99" w:rsidP="00FA2F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2F7BCB">
              <w:rPr>
                <w:rFonts w:asciiTheme="minorHAnsi" w:hAnsiTheme="minorHAnsi"/>
                <w:sz w:val="18"/>
                <w:szCs w:val="18"/>
              </w:rPr>
              <w:t>$2.9 USD</w:t>
            </w:r>
          </w:p>
          <w:p w14:paraId="7E281FA4" w14:textId="77777777" w:rsidR="00FA2F99" w:rsidRPr="002F7BCB" w:rsidRDefault="00FA2F99" w:rsidP="00FA2F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sz w:val="18"/>
                <w:szCs w:val="18"/>
              </w:rPr>
              <w:t>(WST 6.50)</w:t>
            </w:r>
          </w:p>
        </w:tc>
        <w:tc>
          <w:tcPr>
            <w:tcW w:w="1701" w:type="dxa"/>
            <w:tcBorders>
              <w:top w:val="single" w:sz="4" w:space="0" w:color="auto"/>
              <w:left w:val="single" w:sz="4" w:space="0" w:color="auto"/>
              <w:bottom w:val="single" w:sz="4" w:space="0" w:color="auto"/>
              <w:right w:val="single" w:sz="4" w:space="0" w:color="auto"/>
            </w:tcBorders>
            <w:noWrap/>
          </w:tcPr>
          <w:p w14:paraId="6452C864" w14:textId="77777777" w:rsidR="00FA2F99" w:rsidRPr="002F7BCB" w:rsidRDefault="00FA2F99" w:rsidP="00FA2F9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PIRI</w:t>
            </w:r>
          </w:p>
        </w:tc>
      </w:tr>
      <w:tr w:rsidR="00FA2F99" w:rsidRPr="002F7BCB" w14:paraId="66337ED9" w14:textId="77777777" w:rsidTr="0090714B">
        <w:trPr>
          <w:trHeight w:val="842"/>
        </w:trPr>
        <w:tc>
          <w:tcPr>
            <w:cnfStyle w:val="001000000000" w:firstRow="0" w:lastRow="0" w:firstColumn="1" w:lastColumn="0" w:oddVBand="0" w:evenVBand="0" w:oddHBand="0" w:evenHBand="0" w:firstRowFirstColumn="0" w:firstRowLastColumn="0" w:lastRowFirstColumn="0" w:lastRowLastColumn="0"/>
            <w:tcW w:w="1854"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5DC4CC5" w14:textId="77777777" w:rsidR="00FA2F99" w:rsidRPr="002F7BCB" w:rsidRDefault="00FA2F99" w:rsidP="00FA2F99">
            <w:pPr>
              <w:rPr>
                <w:rFonts w:asciiTheme="minorHAnsi" w:hAnsiTheme="minorHAnsi"/>
                <w:color w:val="000000"/>
                <w:sz w:val="18"/>
                <w:szCs w:val="18"/>
              </w:rPr>
            </w:pPr>
          </w:p>
        </w:tc>
        <w:tc>
          <w:tcPr>
            <w:tcW w:w="1854" w:type="dxa"/>
            <w:tcBorders>
              <w:top w:val="single" w:sz="4" w:space="0" w:color="auto"/>
              <w:left w:val="single" w:sz="4" w:space="0" w:color="auto"/>
              <w:bottom w:val="nil"/>
              <w:right w:val="single" w:sz="4" w:space="0" w:color="auto"/>
            </w:tcBorders>
            <w:vAlign w:val="center"/>
          </w:tcPr>
          <w:p w14:paraId="5F79F077" w14:textId="77777777" w:rsidR="00FA2F99" w:rsidRPr="002F7BCB" w:rsidRDefault="00FA2F99" w:rsidP="00FA2F99">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Bank Agent</w:t>
            </w:r>
          </w:p>
        </w:tc>
        <w:tc>
          <w:tcPr>
            <w:tcW w:w="1530" w:type="dxa"/>
            <w:tcBorders>
              <w:top w:val="single" w:sz="4" w:space="0" w:color="auto"/>
              <w:left w:val="single" w:sz="4" w:space="0" w:color="auto"/>
              <w:bottom w:val="single" w:sz="4" w:space="0" w:color="auto"/>
              <w:right w:val="single" w:sz="4" w:space="0" w:color="auto"/>
            </w:tcBorders>
            <w:noWrap/>
          </w:tcPr>
          <w:p w14:paraId="640AE955" w14:textId="77777777" w:rsidR="00FA2F99" w:rsidRPr="002F7BCB" w:rsidRDefault="00FA2F99"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p>
        </w:tc>
        <w:tc>
          <w:tcPr>
            <w:tcW w:w="1391" w:type="dxa"/>
            <w:tcBorders>
              <w:top w:val="single" w:sz="4" w:space="0" w:color="auto"/>
              <w:left w:val="single" w:sz="4" w:space="0" w:color="auto"/>
              <w:bottom w:val="single" w:sz="4" w:space="0" w:color="auto"/>
              <w:right w:val="single" w:sz="4" w:space="0" w:color="auto"/>
            </w:tcBorders>
            <w:noWrap/>
          </w:tcPr>
          <w:p w14:paraId="11A6557F" w14:textId="77777777" w:rsidR="00FA2F99" w:rsidRPr="002F7BCB" w:rsidRDefault="00FA2F99"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noWrap/>
          </w:tcPr>
          <w:p w14:paraId="352AA707" w14:textId="77777777" w:rsidR="00FA2F99" w:rsidRPr="002F7BCB" w:rsidRDefault="00FA2F99"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$2.1 USD</w:t>
            </w:r>
          </w:p>
          <w:p w14:paraId="405692BB" w14:textId="77777777" w:rsidR="00FA2F99" w:rsidRPr="002F7BCB" w:rsidRDefault="00FA2F99"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(WST 4.80)</w:t>
            </w:r>
          </w:p>
        </w:tc>
        <w:tc>
          <w:tcPr>
            <w:tcW w:w="1701" w:type="dxa"/>
            <w:tcBorders>
              <w:top w:val="single" w:sz="4" w:space="0" w:color="auto"/>
              <w:left w:val="single" w:sz="4" w:space="0" w:color="auto"/>
              <w:bottom w:val="single" w:sz="4" w:space="0" w:color="auto"/>
              <w:right w:val="single" w:sz="4" w:space="0" w:color="auto"/>
            </w:tcBorders>
            <w:noWrap/>
          </w:tcPr>
          <w:p w14:paraId="5447EBF2" w14:textId="77777777" w:rsidR="00FA2F99" w:rsidRPr="002F7BCB" w:rsidRDefault="00FA2F99" w:rsidP="00FA2F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PIRI</w:t>
            </w:r>
          </w:p>
        </w:tc>
      </w:tr>
      <w:tr w:rsidR="00FA2F99" w:rsidRPr="002F7BCB" w14:paraId="04EF2A31" w14:textId="77777777" w:rsidTr="000876D4">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1854"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096462A" w14:textId="77777777" w:rsidR="00FA2F99" w:rsidRPr="002F7BCB" w:rsidRDefault="00FA2F99" w:rsidP="00FA2F99">
            <w:pPr>
              <w:rPr>
                <w:rFonts w:asciiTheme="minorHAnsi" w:hAnsiTheme="minorHAnsi"/>
                <w:color w:val="000000"/>
                <w:sz w:val="18"/>
                <w:szCs w:val="18"/>
              </w:rPr>
            </w:pPr>
          </w:p>
        </w:tc>
        <w:tc>
          <w:tcPr>
            <w:tcW w:w="1854" w:type="dxa"/>
            <w:tcBorders>
              <w:top w:val="nil"/>
              <w:left w:val="single" w:sz="4" w:space="0" w:color="auto"/>
              <w:bottom w:val="single" w:sz="4" w:space="0" w:color="auto"/>
              <w:right w:val="single" w:sz="4" w:space="0" w:color="auto"/>
            </w:tcBorders>
            <w:vAlign w:val="center"/>
          </w:tcPr>
          <w:p w14:paraId="000E925A" w14:textId="77777777" w:rsidR="00FA2F99" w:rsidRPr="002F7BCB" w:rsidRDefault="00FA2F99" w:rsidP="00FA2F99">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Mobile Money Agent</w:t>
            </w:r>
          </w:p>
        </w:tc>
        <w:tc>
          <w:tcPr>
            <w:tcW w:w="1530" w:type="dxa"/>
            <w:tcBorders>
              <w:top w:val="single" w:sz="4" w:space="0" w:color="auto"/>
              <w:left w:val="single" w:sz="4" w:space="0" w:color="auto"/>
              <w:bottom w:val="single" w:sz="4" w:space="0" w:color="auto"/>
              <w:right w:val="single" w:sz="4" w:space="0" w:color="auto"/>
            </w:tcBorders>
            <w:noWrap/>
          </w:tcPr>
          <w:p w14:paraId="4A11390C" w14:textId="77777777" w:rsidR="00FA2F99" w:rsidRPr="002F7BCB" w:rsidRDefault="00FA2F99" w:rsidP="00FA2F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p>
        </w:tc>
        <w:tc>
          <w:tcPr>
            <w:tcW w:w="1391" w:type="dxa"/>
            <w:tcBorders>
              <w:top w:val="single" w:sz="4" w:space="0" w:color="auto"/>
              <w:left w:val="single" w:sz="4" w:space="0" w:color="auto"/>
              <w:bottom w:val="single" w:sz="4" w:space="0" w:color="auto"/>
              <w:right w:val="single" w:sz="4" w:space="0" w:color="auto"/>
            </w:tcBorders>
            <w:noWrap/>
          </w:tcPr>
          <w:p w14:paraId="11C65D9A" w14:textId="77777777" w:rsidR="00FA2F99" w:rsidRPr="002F7BCB" w:rsidRDefault="00FA2F99" w:rsidP="00FA2F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noWrap/>
          </w:tcPr>
          <w:p w14:paraId="02018EB4" w14:textId="77777777" w:rsidR="00FA2F99" w:rsidRPr="002F7BCB" w:rsidRDefault="00FA2F99" w:rsidP="00FA2F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$2.5 USD (WST 5.7)</w:t>
            </w:r>
          </w:p>
        </w:tc>
        <w:tc>
          <w:tcPr>
            <w:tcW w:w="1701" w:type="dxa"/>
            <w:tcBorders>
              <w:top w:val="single" w:sz="4" w:space="0" w:color="auto"/>
              <w:left w:val="single" w:sz="4" w:space="0" w:color="auto"/>
              <w:bottom w:val="single" w:sz="4" w:space="0" w:color="auto"/>
              <w:right w:val="single" w:sz="4" w:space="0" w:color="auto"/>
            </w:tcBorders>
            <w:noWrap/>
          </w:tcPr>
          <w:p w14:paraId="10CC33E2" w14:textId="77777777" w:rsidR="00FA2F99" w:rsidRPr="002F7BCB" w:rsidRDefault="00FA2F99" w:rsidP="00FA2F9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PIRI</w:t>
            </w:r>
          </w:p>
        </w:tc>
      </w:tr>
      <w:tr w:rsidR="00FA2F99" w:rsidRPr="002F7BCB" w14:paraId="54333F2F" w14:textId="77777777" w:rsidTr="00E02E48">
        <w:trPr>
          <w:trHeight w:val="832"/>
        </w:trPr>
        <w:tc>
          <w:tcPr>
            <w:cnfStyle w:val="001000000000" w:firstRow="0" w:lastRow="0" w:firstColumn="1" w:lastColumn="0" w:oddVBand="0" w:evenVBand="0" w:oddHBand="0" w:evenHBand="0" w:firstRowFirstColumn="0" w:firstRowLastColumn="0" w:lastRowFirstColumn="0" w:lastRowLastColumn="0"/>
            <w:tcW w:w="1854" w:type="dxa"/>
            <w:tcBorders>
              <w:top w:val="single" w:sz="4" w:space="0" w:color="auto"/>
              <w:left w:val="single" w:sz="4" w:space="0" w:color="auto"/>
              <w:right w:val="single" w:sz="4" w:space="0" w:color="auto"/>
            </w:tcBorders>
            <w:shd w:val="clear" w:color="auto" w:fill="95B3D7" w:themeFill="accent1" w:themeFillTint="99"/>
            <w:vAlign w:val="center"/>
          </w:tcPr>
          <w:p w14:paraId="6632500C" w14:textId="77777777" w:rsidR="00FA2F99" w:rsidRPr="002F7BCB" w:rsidRDefault="00FA2F99" w:rsidP="00FA2F99">
            <w:pPr>
              <w:rPr>
                <w:rFonts w:asciiTheme="minorHAnsi" w:hAnsiTheme="minorHAnsi"/>
                <w:color w:val="000000"/>
                <w:sz w:val="18"/>
                <w:szCs w:val="18"/>
              </w:rPr>
            </w:pPr>
            <w:r w:rsidRPr="002F7BCB">
              <w:rPr>
                <w:rFonts w:asciiTheme="minorHAnsi" w:hAnsiTheme="minorHAnsi"/>
                <w:color w:val="000000"/>
                <w:sz w:val="18"/>
                <w:szCs w:val="18"/>
              </w:rPr>
              <w:t>4.4. Average time of traveling to the nearest access point in minutes</w:t>
            </w:r>
          </w:p>
          <w:p w14:paraId="3335C9AE" w14:textId="77777777" w:rsidR="00FA2F99" w:rsidRPr="002F7BCB" w:rsidRDefault="00FA2F99" w:rsidP="00FA2F99">
            <w:pPr>
              <w:rPr>
                <w:rFonts w:asciiTheme="minorHAnsi" w:hAnsiTheme="minorHAnsi"/>
                <w:color w:val="000000"/>
                <w:sz w:val="18"/>
                <w:szCs w:val="18"/>
              </w:rPr>
            </w:pPr>
          </w:p>
        </w:tc>
        <w:tc>
          <w:tcPr>
            <w:tcW w:w="1854" w:type="dxa"/>
            <w:tcBorders>
              <w:top w:val="single" w:sz="4" w:space="0" w:color="auto"/>
              <w:left w:val="single" w:sz="4" w:space="0" w:color="auto"/>
              <w:right w:val="single" w:sz="4" w:space="0" w:color="auto"/>
            </w:tcBorders>
            <w:vAlign w:val="center"/>
          </w:tcPr>
          <w:p w14:paraId="3186F293" w14:textId="77777777" w:rsidR="00FA2F99" w:rsidRPr="002F7BCB" w:rsidRDefault="00FA2F99" w:rsidP="00FA2F99">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p>
          <w:p w14:paraId="2114CD7E" w14:textId="77777777" w:rsidR="00FA2F99" w:rsidRPr="002F7BCB" w:rsidRDefault="00FA2F99" w:rsidP="00FA2F99">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Bank Branch</w:t>
            </w:r>
          </w:p>
          <w:p w14:paraId="361C1751" w14:textId="77777777" w:rsidR="00FA2F99" w:rsidRPr="002F7BCB" w:rsidRDefault="00FA2F99" w:rsidP="00FA2F99">
            <w:pPr>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000000"/>
                <w:sz w:val="18"/>
                <w:szCs w:val="18"/>
              </w:rPr>
            </w:pPr>
          </w:p>
        </w:tc>
        <w:tc>
          <w:tcPr>
            <w:tcW w:w="1530" w:type="dxa"/>
            <w:tcBorders>
              <w:top w:val="single" w:sz="4" w:space="0" w:color="auto"/>
              <w:left w:val="single" w:sz="4" w:space="0" w:color="auto"/>
              <w:bottom w:val="single" w:sz="4" w:space="0" w:color="auto"/>
              <w:right w:val="single" w:sz="4" w:space="0" w:color="auto"/>
            </w:tcBorders>
            <w:noWrap/>
          </w:tcPr>
          <w:p w14:paraId="6EB74F45" w14:textId="77777777" w:rsidR="00FA2F99" w:rsidRPr="002F7BCB" w:rsidRDefault="00FA2F99"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p>
        </w:tc>
        <w:tc>
          <w:tcPr>
            <w:tcW w:w="1391" w:type="dxa"/>
            <w:tcBorders>
              <w:top w:val="single" w:sz="4" w:space="0" w:color="auto"/>
              <w:left w:val="single" w:sz="4" w:space="0" w:color="auto"/>
              <w:bottom w:val="single" w:sz="4" w:space="0" w:color="auto"/>
              <w:right w:val="single" w:sz="4" w:space="0" w:color="auto"/>
            </w:tcBorders>
            <w:noWrap/>
          </w:tcPr>
          <w:p w14:paraId="096909E6" w14:textId="77777777" w:rsidR="00FA2F99" w:rsidRPr="002F7BCB" w:rsidRDefault="00FA2F99"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noWrap/>
          </w:tcPr>
          <w:p w14:paraId="1DAD6B63" w14:textId="77777777" w:rsidR="00FA2F99" w:rsidRPr="002F7BCB" w:rsidRDefault="00FA2F99"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p>
          <w:p w14:paraId="20FD7C99" w14:textId="77777777" w:rsidR="00FA2F99" w:rsidRPr="002F7BCB" w:rsidRDefault="00FA2F99"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44.8 min</w:t>
            </w:r>
          </w:p>
        </w:tc>
        <w:tc>
          <w:tcPr>
            <w:tcW w:w="1701" w:type="dxa"/>
            <w:tcBorders>
              <w:top w:val="single" w:sz="4" w:space="0" w:color="auto"/>
              <w:left w:val="single" w:sz="4" w:space="0" w:color="auto"/>
              <w:bottom w:val="single" w:sz="4" w:space="0" w:color="auto"/>
              <w:right w:val="single" w:sz="4" w:space="0" w:color="auto"/>
            </w:tcBorders>
            <w:noWrap/>
          </w:tcPr>
          <w:p w14:paraId="37A1C5EF" w14:textId="77777777" w:rsidR="00FA2F99" w:rsidRPr="002F7BCB" w:rsidRDefault="00FA2F99" w:rsidP="00FA2F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PIRI</w:t>
            </w:r>
          </w:p>
        </w:tc>
      </w:tr>
      <w:tr w:rsidR="00FA2F99" w:rsidRPr="002F7BCB" w14:paraId="687127AE" w14:textId="77777777" w:rsidTr="00E02E48">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854" w:type="dxa"/>
            <w:tcBorders>
              <w:left w:val="single" w:sz="4" w:space="0" w:color="auto"/>
              <w:right w:val="single" w:sz="4" w:space="0" w:color="auto"/>
            </w:tcBorders>
            <w:shd w:val="clear" w:color="auto" w:fill="95B3D7" w:themeFill="accent1" w:themeFillTint="99"/>
            <w:vAlign w:val="center"/>
          </w:tcPr>
          <w:p w14:paraId="4D0BD45A" w14:textId="77777777" w:rsidR="00FA2F99" w:rsidRPr="002F7BCB" w:rsidRDefault="00FA2F99" w:rsidP="00FA2F99">
            <w:pPr>
              <w:rPr>
                <w:rFonts w:asciiTheme="minorHAnsi" w:hAnsiTheme="minorHAnsi"/>
                <w:color w:val="000000"/>
                <w:sz w:val="18"/>
                <w:szCs w:val="18"/>
              </w:rPr>
            </w:pPr>
          </w:p>
        </w:tc>
        <w:tc>
          <w:tcPr>
            <w:tcW w:w="1854" w:type="dxa"/>
            <w:tcBorders>
              <w:left w:val="single" w:sz="4" w:space="0" w:color="auto"/>
              <w:right w:val="single" w:sz="4" w:space="0" w:color="auto"/>
            </w:tcBorders>
            <w:vAlign w:val="center"/>
          </w:tcPr>
          <w:p w14:paraId="59DE5836" w14:textId="77777777" w:rsidR="00FA2F99" w:rsidRPr="002F7BCB" w:rsidRDefault="00FA2F99" w:rsidP="00FA2F99">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ATM</w:t>
            </w:r>
          </w:p>
        </w:tc>
        <w:tc>
          <w:tcPr>
            <w:tcW w:w="1530" w:type="dxa"/>
            <w:tcBorders>
              <w:top w:val="single" w:sz="4" w:space="0" w:color="auto"/>
              <w:left w:val="single" w:sz="4" w:space="0" w:color="auto"/>
              <w:bottom w:val="single" w:sz="4" w:space="0" w:color="auto"/>
              <w:right w:val="single" w:sz="4" w:space="0" w:color="auto"/>
            </w:tcBorders>
            <w:noWrap/>
          </w:tcPr>
          <w:p w14:paraId="41EAEF73" w14:textId="77777777" w:rsidR="00FA2F99" w:rsidRPr="002F7BCB" w:rsidRDefault="00FA2F99" w:rsidP="00FA2F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p>
        </w:tc>
        <w:tc>
          <w:tcPr>
            <w:tcW w:w="1391" w:type="dxa"/>
            <w:tcBorders>
              <w:top w:val="single" w:sz="4" w:space="0" w:color="auto"/>
              <w:left w:val="single" w:sz="4" w:space="0" w:color="auto"/>
              <w:bottom w:val="single" w:sz="4" w:space="0" w:color="auto"/>
              <w:right w:val="single" w:sz="4" w:space="0" w:color="auto"/>
            </w:tcBorders>
            <w:noWrap/>
          </w:tcPr>
          <w:p w14:paraId="6CF0F4D4" w14:textId="77777777" w:rsidR="00FA2F99" w:rsidRPr="002F7BCB" w:rsidRDefault="00FA2F99" w:rsidP="00FA2F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noWrap/>
          </w:tcPr>
          <w:p w14:paraId="72ED51FD" w14:textId="77777777" w:rsidR="00FA2F99" w:rsidRPr="002F7BCB" w:rsidRDefault="00FA2F99" w:rsidP="00FA2F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23.7 min</w:t>
            </w:r>
          </w:p>
        </w:tc>
        <w:tc>
          <w:tcPr>
            <w:tcW w:w="1701" w:type="dxa"/>
            <w:tcBorders>
              <w:top w:val="single" w:sz="4" w:space="0" w:color="auto"/>
              <w:left w:val="single" w:sz="4" w:space="0" w:color="auto"/>
              <w:bottom w:val="single" w:sz="4" w:space="0" w:color="auto"/>
              <w:right w:val="single" w:sz="4" w:space="0" w:color="auto"/>
            </w:tcBorders>
            <w:noWrap/>
          </w:tcPr>
          <w:p w14:paraId="156F432F" w14:textId="77777777" w:rsidR="00FA2F99" w:rsidRPr="002F7BCB" w:rsidRDefault="00FA2F99" w:rsidP="00FA2F9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PIRI</w:t>
            </w:r>
          </w:p>
        </w:tc>
      </w:tr>
      <w:tr w:rsidR="00FA2F99" w:rsidRPr="002F7BCB" w14:paraId="212EEC71" w14:textId="77777777" w:rsidTr="00E02E48">
        <w:trPr>
          <w:trHeight w:val="900"/>
        </w:trPr>
        <w:tc>
          <w:tcPr>
            <w:cnfStyle w:val="001000000000" w:firstRow="0" w:lastRow="0" w:firstColumn="1" w:lastColumn="0" w:oddVBand="0" w:evenVBand="0" w:oddHBand="0" w:evenHBand="0" w:firstRowFirstColumn="0" w:firstRowLastColumn="0" w:lastRowFirstColumn="0" w:lastRowLastColumn="0"/>
            <w:tcW w:w="1854" w:type="dxa"/>
            <w:tcBorders>
              <w:left w:val="single" w:sz="4" w:space="0" w:color="auto"/>
              <w:right w:val="single" w:sz="4" w:space="0" w:color="auto"/>
            </w:tcBorders>
            <w:shd w:val="clear" w:color="auto" w:fill="95B3D7" w:themeFill="accent1" w:themeFillTint="99"/>
            <w:vAlign w:val="center"/>
          </w:tcPr>
          <w:p w14:paraId="580C3499" w14:textId="77777777" w:rsidR="00FA2F99" w:rsidRPr="002F7BCB" w:rsidRDefault="00FA2F99" w:rsidP="00FA2F99">
            <w:pPr>
              <w:rPr>
                <w:rFonts w:asciiTheme="minorHAnsi" w:hAnsiTheme="minorHAnsi"/>
                <w:color w:val="000000"/>
                <w:sz w:val="18"/>
                <w:szCs w:val="18"/>
              </w:rPr>
            </w:pPr>
          </w:p>
        </w:tc>
        <w:tc>
          <w:tcPr>
            <w:tcW w:w="1854" w:type="dxa"/>
            <w:tcBorders>
              <w:left w:val="single" w:sz="4" w:space="0" w:color="auto"/>
              <w:right w:val="single" w:sz="4" w:space="0" w:color="auto"/>
            </w:tcBorders>
            <w:vAlign w:val="center"/>
          </w:tcPr>
          <w:p w14:paraId="674AAB1F" w14:textId="77777777" w:rsidR="00FA2F99" w:rsidRPr="002F7BCB" w:rsidRDefault="00FA2F99" w:rsidP="00FA2F99">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Bank Agent</w:t>
            </w:r>
          </w:p>
        </w:tc>
        <w:tc>
          <w:tcPr>
            <w:tcW w:w="1530" w:type="dxa"/>
            <w:tcBorders>
              <w:top w:val="single" w:sz="4" w:space="0" w:color="auto"/>
              <w:left w:val="single" w:sz="4" w:space="0" w:color="auto"/>
              <w:bottom w:val="single" w:sz="4" w:space="0" w:color="auto"/>
              <w:right w:val="single" w:sz="4" w:space="0" w:color="auto"/>
            </w:tcBorders>
            <w:noWrap/>
          </w:tcPr>
          <w:p w14:paraId="3693A06D" w14:textId="77777777" w:rsidR="00FA2F99" w:rsidRPr="002F7BCB" w:rsidRDefault="00FA2F99"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p>
        </w:tc>
        <w:tc>
          <w:tcPr>
            <w:tcW w:w="1391" w:type="dxa"/>
            <w:tcBorders>
              <w:top w:val="single" w:sz="4" w:space="0" w:color="auto"/>
              <w:left w:val="single" w:sz="4" w:space="0" w:color="auto"/>
              <w:bottom w:val="single" w:sz="4" w:space="0" w:color="auto"/>
              <w:right w:val="single" w:sz="4" w:space="0" w:color="auto"/>
            </w:tcBorders>
            <w:noWrap/>
          </w:tcPr>
          <w:p w14:paraId="587E391B" w14:textId="77777777" w:rsidR="00FA2F99" w:rsidRPr="002F7BCB" w:rsidRDefault="00FA2F99"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noWrap/>
          </w:tcPr>
          <w:p w14:paraId="7D61B3E5" w14:textId="77777777" w:rsidR="00FA2F99" w:rsidRPr="002F7BCB" w:rsidRDefault="00FA2F99"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14 min</w:t>
            </w:r>
          </w:p>
        </w:tc>
        <w:tc>
          <w:tcPr>
            <w:tcW w:w="1701" w:type="dxa"/>
            <w:tcBorders>
              <w:top w:val="single" w:sz="4" w:space="0" w:color="auto"/>
              <w:left w:val="single" w:sz="4" w:space="0" w:color="auto"/>
              <w:bottom w:val="single" w:sz="4" w:space="0" w:color="auto"/>
              <w:right w:val="single" w:sz="4" w:space="0" w:color="auto"/>
            </w:tcBorders>
            <w:noWrap/>
          </w:tcPr>
          <w:p w14:paraId="283F5865" w14:textId="77777777" w:rsidR="00FA2F99" w:rsidRPr="002F7BCB" w:rsidRDefault="00FA2F99" w:rsidP="00FA2F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PIRI</w:t>
            </w:r>
          </w:p>
        </w:tc>
      </w:tr>
      <w:tr w:rsidR="00FA2F99" w:rsidRPr="002F7BCB" w14:paraId="71A340DD" w14:textId="77777777" w:rsidTr="00E02E48">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854" w:type="dxa"/>
            <w:tcBorders>
              <w:left w:val="single" w:sz="4" w:space="0" w:color="auto"/>
              <w:bottom w:val="single" w:sz="4" w:space="0" w:color="auto"/>
              <w:right w:val="single" w:sz="4" w:space="0" w:color="auto"/>
            </w:tcBorders>
            <w:shd w:val="clear" w:color="auto" w:fill="95B3D7" w:themeFill="accent1" w:themeFillTint="99"/>
            <w:vAlign w:val="center"/>
          </w:tcPr>
          <w:p w14:paraId="2031650C" w14:textId="77777777" w:rsidR="00FA2F99" w:rsidRPr="002F7BCB" w:rsidRDefault="00FA2F99" w:rsidP="00FA2F99">
            <w:pPr>
              <w:rPr>
                <w:rFonts w:asciiTheme="minorHAnsi" w:hAnsiTheme="minorHAnsi"/>
                <w:color w:val="000000"/>
                <w:sz w:val="18"/>
                <w:szCs w:val="18"/>
              </w:rPr>
            </w:pPr>
          </w:p>
        </w:tc>
        <w:tc>
          <w:tcPr>
            <w:tcW w:w="1854" w:type="dxa"/>
            <w:tcBorders>
              <w:left w:val="single" w:sz="4" w:space="0" w:color="auto"/>
              <w:bottom w:val="single" w:sz="4" w:space="0" w:color="auto"/>
              <w:right w:val="single" w:sz="4" w:space="0" w:color="auto"/>
            </w:tcBorders>
            <w:vAlign w:val="center"/>
          </w:tcPr>
          <w:p w14:paraId="21FE4777" w14:textId="77777777" w:rsidR="00FA2F99" w:rsidRPr="002F7BCB" w:rsidRDefault="00FA2F99" w:rsidP="00FA2F99">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Mobile Money Agent</w:t>
            </w:r>
          </w:p>
        </w:tc>
        <w:tc>
          <w:tcPr>
            <w:tcW w:w="1530" w:type="dxa"/>
            <w:tcBorders>
              <w:top w:val="single" w:sz="4" w:space="0" w:color="auto"/>
              <w:left w:val="single" w:sz="4" w:space="0" w:color="auto"/>
              <w:bottom w:val="single" w:sz="4" w:space="0" w:color="auto"/>
              <w:right w:val="single" w:sz="4" w:space="0" w:color="auto"/>
            </w:tcBorders>
            <w:noWrap/>
          </w:tcPr>
          <w:p w14:paraId="33086C5C" w14:textId="77777777" w:rsidR="00FA2F99" w:rsidRPr="002F7BCB" w:rsidRDefault="00FA2F99" w:rsidP="00FA2F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p>
        </w:tc>
        <w:tc>
          <w:tcPr>
            <w:tcW w:w="1391" w:type="dxa"/>
            <w:tcBorders>
              <w:top w:val="single" w:sz="4" w:space="0" w:color="auto"/>
              <w:left w:val="single" w:sz="4" w:space="0" w:color="auto"/>
              <w:bottom w:val="single" w:sz="4" w:space="0" w:color="auto"/>
              <w:right w:val="single" w:sz="4" w:space="0" w:color="auto"/>
            </w:tcBorders>
            <w:noWrap/>
          </w:tcPr>
          <w:p w14:paraId="6531CDE0" w14:textId="77777777" w:rsidR="00FA2F99" w:rsidRPr="002F7BCB" w:rsidRDefault="00FA2F99" w:rsidP="00FA2F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noWrap/>
          </w:tcPr>
          <w:p w14:paraId="42B3FD04" w14:textId="77777777" w:rsidR="00FA2F99" w:rsidRPr="002F7BCB" w:rsidRDefault="00FA2F99" w:rsidP="00FA2F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24.6 min</w:t>
            </w:r>
          </w:p>
        </w:tc>
        <w:tc>
          <w:tcPr>
            <w:tcW w:w="1701" w:type="dxa"/>
            <w:tcBorders>
              <w:top w:val="single" w:sz="4" w:space="0" w:color="auto"/>
              <w:left w:val="single" w:sz="4" w:space="0" w:color="auto"/>
              <w:bottom w:val="single" w:sz="4" w:space="0" w:color="auto"/>
              <w:right w:val="single" w:sz="4" w:space="0" w:color="auto"/>
            </w:tcBorders>
            <w:noWrap/>
          </w:tcPr>
          <w:p w14:paraId="0DFE58D9" w14:textId="77777777" w:rsidR="00FA2F99" w:rsidRPr="002F7BCB" w:rsidRDefault="00FA2F99" w:rsidP="00FA2F9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PIRI</w:t>
            </w:r>
          </w:p>
        </w:tc>
      </w:tr>
      <w:tr w:rsidR="00FA2F99" w:rsidRPr="002F7BCB" w14:paraId="3098A977" w14:textId="77777777" w:rsidTr="00E02E48">
        <w:trPr>
          <w:trHeight w:val="900"/>
        </w:trPr>
        <w:tc>
          <w:tcPr>
            <w:cnfStyle w:val="001000000000" w:firstRow="0" w:lastRow="0" w:firstColumn="1" w:lastColumn="0" w:oddVBand="0" w:evenVBand="0" w:oddHBand="0" w:evenHBand="0" w:firstRowFirstColumn="0" w:firstRowLastColumn="0" w:lastRowFirstColumn="0" w:lastRowLastColumn="0"/>
            <w:tcW w:w="3708"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EFC5BCB" w14:textId="77777777" w:rsidR="00FA2F99" w:rsidRPr="002F7BCB" w:rsidRDefault="00FA2F99" w:rsidP="00FA2F99">
            <w:pPr>
              <w:rPr>
                <w:rFonts w:asciiTheme="minorHAnsi" w:hAnsiTheme="minorHAnsi"/>
                <w:sz w:val="18"/>
                <w:szCs w:val="18"/>
              </w:rPr>
            </w:pPr>
            <w:r w:rsidRPr="002F7BCB">
              <w:rPr>
                <w:rFonts w:asciiTheme="minorHAnsi" w:hAnsiTheme="minorHAnsi"/>
                <w:color w:val="000000"/>
                <w:sz w:val="18"/>
                <w:szCs w:val="18"/>
              </w:rPr>
              <w:t>4.5. Average time waiting to be served when opening a deposit account (in hrs.)</w:t>
            </w:r>
          </w:p>
        </w:tc>
        <w:tc>
          <w:tcPr>
            <w:tcW w:w="1530" w:type="dxa"/>
            <w:tcBorders>
              <w:top w:val="single" w:sz="4" w:space="0" w:color="auto"/>
              <w:left w:val="single" w:sz="4" w:space="0" w:color="auto"/>
              <w:bottom w:val="single" w:sz="4" w:space="0" w:color="auto"/>
              <w:right w:val="single" w:sz="4" w:space="0" w:color="auto"/>
            </w:tcBorders>
            <w:noWrap/>
          </w:tcPr>
          <w:p w14:paraId="525A37D0" w14:textId="77777777" w:rsidR="00FA2F99" w:rsidRPr="002F7BCB" w:rsidRDefault="00FA2F99"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p>
        </w:tc>
        <w:tc>
          <w:tcPr>
            <w:tcW w:w="1391" w:type="dxa"/>
            <w:tcBorders>
              <w:top w:val="single" w:sz="4" w:space="0" w:color="auto"/>
              <w:left w:val="single" w:sz="4" w:space="0" w:color="auto"/>
              <w:bottom w:val="single" w:sz="4" w:space="0" w:color="auto"/>
              <w:right w:val="single" w:sz="4" w:space="0" w:color="auto"/>
            </w:tcBorders>
            <w:noWrap/>
          </w:tcPr>
          <w:p w14:paraId="6A1C01D3" w14:textId="77777777" w:rsidR="00FA2F99" w:rsidRPr="002F7BCB" w:rsidRDefault="00FA2F99"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noWrap/>
          </w:tcPr>
          <w:p w14:paraId="4F7EDEA2" w14:textId="77777777" w:rsidR="00FA2F99" w:rsidRPr="002F7BCB" w:rsidRDefault="00FA2F99"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2.6 hrs.</w:t>
            </w:r>
          </w:p>
        </w:tc>
        <w:tc>
          <w:tcPr>
            <w:tcW w:w="1701" w:type="dxa"/>
            <w:tcBorders>
              <w:top w:val="single" w:sz="4" w:space="0" w:color="auto"/>
              <w:left w:val="single" w:sz="4" w:space="0" w:color="auto"/>
              <w:bottom w:val="single" w:sz="4" w:space="0" w:color="auto"/>
              <w:right w:val="single" w:sz="4" w:space="0" w:color="auto"/>
            </w:tcBorders>
            <w:noWrap/>
          </w:tcPr>
          <w:p w14:paraId="512FC4AB" w14:textId="77777777" w:rsidR="00FA2F99" w:rsidRPr="002F7BCB" w:rsidRDefault="00FA2F99" w:rsidP="00FA2F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PIRI</w:t>
            </w:r>
          </w:p>
        </w:tc>
      </w:tr>
      <w:tr w:rsidR="00FA2F99" w:rsidRPr="002F7BCB" w14:paraId="3CB34724" w14:textId="77777777" w:rsidTr="00E02E48">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708"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765FCC5" w14:textId="77777777" w:rsidR="00FA2F99" w:rsidRPr="002F7BCB" w:rsidRDefault="00FA2F99" w:rsidP="00FA2F99">
            <w:pPr>
              <w:rPr>
                <w:rFonts w:asciiTheme="minorHAnsi" w:hAnsiTheme="minorHAnsi"/>
                <w:color w:val="000000"/>
                <w:sz w:val="18"/>
                <w:szCs w:val="18"/>
              </w:rPr>
            </w:pPr>
            <w:r w:rsidRPr="002F7BCB">
              <w:rPr>
                <w:rFonts w:asciiTheme="minorHAnsi" w:hAnsiTheme="minorHAnsi"/>
                <w:color w:val="000000"/>
                <w:sz w:val="18"/>
                <w:szCs w:val="18"/>
              </w:rPr>
              <w:t>4.7.  Percentage of adults reporting that they do not have all identification documents required to open a basic account</w:t>
            </w:r>
          </w:p>
        </w:tc>
        <w:tc>
          <w:tcPr>
            <w:tcW w:w="1530" w:type="dxa"/>
            <w:tcBorders>
              <w:top w:val="single" w:sz="4" w:space="0" w:color="auto"/>
              <w:left w:val="single" w:sz="4" w:space="0" w:color="auto"/>
              <w:bottom w:val="single" w:sz="4" w:space="0" w:color="auto"/>
              <w:right w:val="single" w:sz="4" w:space="0" w:color="auto"/>
            </w:tcBorders>
            <w:noWrap/>
          </w:tcPr>
          <w:p w14:paraId="2E9EFA8B" w14:textId="77777777" w:rsidR="00FA2F99" w:rsidRPr="002F7BCB" w:rsidRDefault="00FA2F99" w:rsidP="00FA2F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p>
        </w:tc>
        <w:tc>
          <w:tcPr>
            <w:tcW w:w="1391" w:type="dxa"/>
            <w:tcBorders>
              <w:top w:val="single" w:sz="4" w:space="0" w:color="auto"/>
              <w:left w:val="single" w:sz="4" w:space="0" w:color="auto"/>
              <w:bottom w:val="single" w:sz="4" w:space="0" w:color="auto"/>
              <w:right w:val="single" w:sz="4" w:space="0" w:color="auto"/>
            </w:tcBorders>
            <w:noWrap/>
          </w:tcPr>
          <w:p w14:paraId="23FE6C55" w14:textId="77777777" w:rsidR="00FA2F99" w:rsidRPr="002F7BCB" w:rsidRDefault="00FA2F99" w:rsidP="00FA2F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noWrap/>
          </w:tcPr>
          <w:p w14:paraId="728EB771" w14:textId="77777777" w:rsidR="00FA2F99" w:rsidRPr="002F7BCB" w:rsidRDefault="00FA2F99" w:rsidP="00FA2F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5%</w:t>
            </w:r>
          </w:p>
        </w:tc>
        <w:tc>
          <w:tcPr>
            <w:tcW w:w="1701" w:type="dxa"/>
            <w:tcBorders>
              <w:top w:val="single" w:sz="4" w:space="0" w:color="auto"/>
              <w:left w:val="single" w:sz="4" w:space="0" w:color="auto"/>
              <w:bottom w:val="single" w:sz="4" w:space="0" w:color="auto"/>
              <w:right w:val="single" w:sz="4" w:space="0" w:color="auto"/>
            </w:tcBorders>
            <w:noWrap/>
          </w:tcPr>
          <w:p w14:paraId="68205D97" w14:textId="77777777" w:rsidR="00FA2F99" w:rsidRPr="002F7BCB" w:rsidRDefault="00FA2F99" w:rsidP="00FA2F9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PIRI</w:t>
            </w:r>
          </w:p>
        </w:tc>
      </w:tr>
      <w:tr w:rsidR="00FA2F99" w:rsidRPr="002F7BCB" w14:paraId="6189CBBB" w14:textId="77777777" w:rsidTr="00E02E48">
        <w:trPr>
          <w:trHeight w:val="600"/>
        </w:trPr>
        <w:tc>
          <w:tcPr>
            <w:cnfStyle w:val="001000000000" w:firstRow="0" w:lastRow="0" w:firstColumn="1" w:lastColumn="0" w:oddVBand="0" w:evenVBand="0" w:oddHBand="0" w:evenHBand="0" w:firstRowFirstColumn="0" w:firstRowLastColumn="0" w:lastRowFirstColumn="0" w:lastRowLastColumn="0"/>
            <w:tcW w:w="3708"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4BD0F63" w14:textId="77777777" w:rsidR="00FA2F99" w:rsidRPr="002F7BCB" w:rsidRDefault="00FA2F99" w:rsidP="00FA2F99">
            <w:pPr>
              <w:rPr>
                <w:rFonts w:asciiTheme="minorHAnsi" w:hAnsiTheme="minorHAnsi"/>
                <w:sz w:val="18"/>
                <w:szCs w:val="18"/>
              </w:rPr>
            </w:pPr>
            <w:r w:rsidRPr="002F7BCB">
              <w:rPr>
                <w:rFonts w:asciiTheme="minorHAnsi" w:hAnsiTheme="minorHAnsi"/>
                <w:color w:val="000000"/>
                <w:sz w:val="18"/>
                <w:szCs w:val="18"/>
              </w:rPr>
              <w:t>5.3. Percent of adults with at least one type of regulated deposit account</w:t>
            </w:r>
          </w:p>
        </w:tc>
        <w:tc>
          <w:tcPr>
            <w:tcW w:w="1530" w:type="dxa"/>
            <w:tcBorders>
              <w:top w:val="single" w:sz="4" w:space="0" w:color="auto"/>
              <w:left w:val="single" w:sz="4" w:space="0" w:color="auto"/>
              <w:bottom w:val="single" w:sz="4" w:space="0" w:color="auto"/>
              <w:right w:val="single" w:sz="4" w:space="0" w:color="auto"/>
            </w:tcBorders>
          </w:tcPr>
          <w:p w14:paraId="2404249B" w14:textId="77777777" w:rsidR="00FA2F99" w:rsidRPr="002F7BCB" w:rsidRDefault="00FA2F99"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p>
        </w:tc>
        <w:tc>
          <w:tcPr>
            <w:tcW w:w="1391" w:type="dxa"/>
            <w:tcBorders>
              <w:top w:val="single" w:sz="4" w:space="0" w:color="auto"/>
              <w:left w:val="single" w:sz="4" w:space="0" w:color="auto"/>
              <w:bottom w:val="single" w:sz="4" w:space="0" w:color="auto"/>
              <w:right w:val="single" w:sz="4" w:space="0" w:color="auto"/>
            </w:tcBorders>
          </w:tcPr>
          <w:p w14:paraId="4DFD0767" w14:textId="77777777" w:rsidR="00FA2F99" w:rsidRPr="002F7BCB" w:rsidRDefault="00FA2F99" w:rsidP="00FA2F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F11E3FD" w14:textId="77777777" w:rsidR="00FA2F99" w:rsidRPr="002F7BCB" w:rsidRDefault="00FA2F99"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39%</w:t>
            </w:r>
          </w:p>
        </w:tc>
        <w:tc>
          <w:tcPr>
            <w:tcW w:w="1701" w:type="dxa"/>
            <w:tcBorders>
              <w:top w:val="single" w:sz="4" w:space="0" w:color="auto"/>
              <w:left w:val="single" w:sz="4" w:space="0" w:color="auto"/>
              <w:bottom w:val="single" w:sz="4" w:space="0" w:color="auto"/>
              <w:right w:val="single" w:sz="4" w:space="0" w:color="auto"/>
            </w:tcBorders>
          </w:tcPr>
          <w:p w14:paraId="6C645E7D" w14:textId="77777777" w:rsidR="00FA2F99" w:rsidRPr="002F7BCB" w:rsidRDefault="00FA2F99" w:rsidP="00FA2F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PIRI</w:t>
            </w:r>
          </w:p>
        </w:tc>
      </w:tr>
      <w:tr w:rsidR="00FA2F99" w:rsidRPr="002F7BCB" w14:paraId="70E5B661" w14:textId="77777777" w:rsidTr="00E02E48">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708"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E59BB8B" w14:textId="77777777" w:rsidR="00FA2F99" w:rsidRPr="002F7BCB" w:rsidRDefault="00FA2F99" w:rsidP="00FA2F99">
            <w:pPr>
              <w:rPr>
                <w:rFonts w:asciiTheme="minorHAnsi" w:hAnsiTheme="minorHAnsi"/>
                <w:color w:val="000000"/>
                <w:sz w:val="18"/>
                <w:szCs w:val="18"/>
              </w:rPr>
            </w:pPr>
            <w:r w:rsidRPr="002F7BCB">
              <w:rPr>
                <w:rFonts w:asciiTheme="minorHAnsi" w:hAnsiTheme="minorHAnsi"/>
                <w:color w:val="000000"/>
                <w:sz w:val="18"/>
                <w:szCs w:val="18"/>
              </w:rPr>
              <w:t>5.4. Percent of adults with at least one type of regulated credit account</w:t>
            </w:r>
          </w:p>
        </w:tc>
        <w:tc>
          <w:tcPr>
            <w:tcW w:w="1530" w:type="dxa"/>
            <w:tcBorders>
              <w:top w:val="single" w:sz="4" w:space="0" w:color="auto"/>
              <w:left w:val="single" w:sz="4" w:space="0" w:color="auto"/>
              <w:bottom w:val="single" w:sz="4" w:space="0" w:color="auto"/>
              <w:right w:val="single" w:sz="4" w:space="0" w:color="auto"/>
            </w:tcBorders>
          </w:tcPr>
          <w:p w14:paraId="537CB1F1" w14:textId="77777777" w:rsidR="00FA2F99" w:rsidRPr="002F7BCB" w:rsidRDefault="00FA2F99" w:rsidP="00FA2F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p>
        </w:tc>
        <w:tc>
          <w:tcPr>
            <w:tcW w:w="1391" w:type="dxa"/>
            <w:tcBorders>
              <w:top w:val="single" w:sz="4" w:space="0" w:color="auto"/>
              <w:left w:val="single" w:sz="4" w:space="0" w:color="auto"/>
              <w:bottom w:val="single" w:sz="4" w:space="0" w:color="auto"/>
              <w:right w:val="single" w:sz="4" w:space="0" w:color="auto"/>
            </w:tcBorders>
          </w:tcPr>
          <w:p w14:paraId="71C33A59" w14:textId="77777777" w:rsidR="00FA2F99" w:rsidRPr="002F7BCB" w:rsidRDefault="00FA2F99" w:rsidP="00FA2F9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9A25354" w14:textId="77777777" w:rsidR="00FA2F99" w:rsidRPr="002F7BCB" w:rsidRDefault="00FA2F99" w:rsidP="00FA2F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13.4%</w:t>
            </w:r>
          </w:p>
        </w:tc>
        <w:tc>
          <w:tcPr>
            <w:tcW w:w="1701" w:type="dxa"/>
            <w:tcBorders>
              <w:top w:val="single" w:sz="4" w:space="0" w:color="auto"/>
              <w:left w:val="single" w:sz="4" w:space="0" w:color="auto"/>
              <w:bottom w:val="single" w:sz="4" w:space="0" w:color="auto"/>
              <w:right w:val="single" w:sz="4" w:space="0" w:color="auto"/>
            </w:tcBorders>
          </w:tcPr>
          <w:p w14:paraId="1363A60B" w14:textId="77777777" w:rsidR="00FA2F99" w:rsidRPr="002F7BCB" w:rsidRDefault="00FA2F99" w:rsidP="00FA2F9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PIRI</w:t>
            </w:r>
          </w:p>
        </w:tc>
      </w:tr>
      <w:tr w:rsidR="00FA2F99" w:rsidRPr="002F7BCB" w14:paraId="6BF1E92A" w14:textId="77777777" w:rsidTr="00E02E48">
        <w:trPr>
          <w:trHeight w:val="600"/>
        </w:trPr>
        <w:tc>
          <w:tcPr>
            <w:cnfStyle w:val="001000000000" w:firstRow="0" w:lastRow="0" w:firstColumn="1" w:lastColumn="0" w:oddVBand="0" w:evenVBand="0" w:oddHBand="0" w:evenHBand="0" w:firstRowFirstColumn="0" w:firstRowLastColumn="0" w:lastRowFirstColumn="0" w:lastRowLastColumn="0"/>
            <w:tcW w:w="3708"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792A4E5" w14:textId="77777777" w:rsidR="00FA2F99" w:rsidRPr="002F7BCB" w:rsidRDefault="00FA2F99" w:rsidP="00FA2F99">
            <w:pPr>
              <w:rPr>
                <w:rFonts w:asciiTheme="minorHAnsi" w:hAnsiTheme="minorHAnsi"/>
                <w:color w:val="000000"/>
                <w:sz w:val="18"/>
                <w:szCs w:val="18"/>
              </w:rPr>
            </w:pPr>
            <w:r w:rsidRPr="002F7BCB">
              <w:rPr>
                <w:rFonts w:asciiTheme="minorHAnsi" w:hAnsiTheme="minorHAnsi"/>
                <w:color w:val="000000"/>
                <w:sz w:val="18"/>
                <w:szCs w:val="18"/>
              </w:rPr>
              <w:t>5.5. Percent of adults with at least one regulated financial product</w:t>
            </w:r>
          </w:p>
        </w:tc>
        <w:tc>
          <w:tcPr>
            <w:tcW w:w="1530" w:type="dxa"/>
            <w:tcBorders>
              <w:top w:val="single" w:sz="4" w:space="0" w:color="auto"/>
              <w:left w:val="single" w:sz="4" w:space="0" w:color="auto"/>
              <w:bottom w:val="single" w:sz="4" w:space="0" w:color="auto"/>
              <w:right w:val="single" w:sz="4" w:space="0" w:color="auto"/>
            </w:tcBorders>
          </w:tcPr>
          <w:p w14:paraId="0FCCB033" w14:textId="77777777" w:rsidR="00FA2F99" w:rsidRPr="002F7BCB" w:rsidRDefault="00FA2F99"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p>
        </w:tc>
        <w:tc>
          <w:tcPr>
            <w:tcW w:w="1391" w:type="dxa"/>
            <w:tcBorders>
              <w:top w:val="single" w:sz="4" w:space="0" w:color="auto"/>
              <w:left w:val="single" w:sz="4" w:space="0" w:color="auto"/>
              <w:bottom w:val="single" w:sz="4" w:space="0" w:color="auto"/>
              <w:right w:val="single" w:sz="4" w:space="0" w:color="auto"/>
            </w:tcBorders>
          </w:tcPr>
          <w:p w14:paraId="3A90412F" w14:textId="77777777" w:rsidR="00FA2F99" w:rsidRPr="002F7BCB" w:rsidRDefault="00FA2F99" w:rsidP="00FA2F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B218BCE" w14:textId="77777777" w:rsidR="00FA2F99" w:rsidRPr="002F7BCB" w:rsidRDefault="00FA2F99"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39%</w:t>
            </w:r>
          </w:p>
        </w:tc>
        <w:tc>
          <w:tcPr>
            <w:tcW w:w="1701" w:type="dxa"/>
            <w:tcBorders>
              <w:top w:val="single" w:sz="4" w:space="0" w:color="auto"/>
              <w:left w:val="single" w:sz="4" w:space="0" w:color="auto"/>
              <w:bottom w:val="single" w:sz="4" w:space="0" w:color="auto"/>
              <w:right w:val="single" w:sz="4" w:space="0" w:color="auto"/>
            </w:tcBorders>
          </w:tcPr>
          <w:p w14:paraId="60FD2E9B" w14:textId="77777777" w:rsidR="00FA2F99" w:rsidRPr="002F7BCB" w:rsidRDefault="00FA2F99" w:rsidP="00FA2F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PIRI</w:t>
            </w:r>
          </w:p>
        </w:tc>
      </w:tr>
      <w:tr w:rsidR="00FA2F99" w:rsidRPr="002F7BCB" w14:paraId="03FB65E8" w14:textId="77777777" w:rsidTr="00E02E48">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708"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A8AEFF0" w14:textId="77777777" w:rsidR="00FA2F99" w:rsidRPr="002F7BCB" w:rsidRDefault="00FA2F99" w:rsidP="00FA2F99">
            <w:pPr>
              <w:rPr>
                <w:rFonts w:asciiTheme="minorHAnsi" w:hAnsiTheme="minorHAnsi"/>
                <w:color w:val="000000"/>
                <w:sz w:val="18"/>
                <w:szCs w:val="18"/>
              </w:rPr>
            </w:pPr>
            <w:r w:rsidRPr="002F7BCB">
              <w:rPr>
                <w:rFonts w:asciiTheme="minorHAnsi" w:hAnsiTheme="minorHAnsi"/>
                <w:color w:val="000000"/>
                <w:sz w:val="18"/>
                <w:szCs w:val="18"/>
              </w:rPr>
              <w:t>5.6. Percent of people with an active deposit account– have had any deposit or withdrawal in the last 90 days</w:t>
            </w:r>
          </w:p>
        </w:tc>
        <w:tc>
          <w:tcPr>
            <w:tcW w:w="1530" w:type="dxa"/>
            <w:tcBorders>
              <w:top w:val="single" w:sz="4" w:space="0" w:color="auto"/>
              <w:left w:val="single" w:sz="4" w:space="0" w:color="auto"/>
              <w:bottom w:val="single" w:sz="4" w:space="0" w:color="auto"/>
              <w:right w:val="single" w:sz="4" w:space="0" w:color="auto"/>
            </w:tcBorders>
          </w:tcPr>
          <w:p w14:paraId="7F239171" w14:textId="77777777" w:rsidR="00FA2F99" w:rsidRPr="002F7BCB" w:rsidRDefault="00FA2F99" w:rsidP="00FA2F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p>
        </w:tc>
        <w:tc>
          <w:tcPr>
            <w:tcW w:w="1391" w:type="dxa"/>
            <w:tcBorders>
              <w:top w:val="single" w:sz="4" w:space="0" w:color="auto"/>
              <w:left w:val="single" w:sz="4" w:space="0" w:color="auto"/>
              <w:bottom w:val="single" w:sz="4" w:space="0" w:color="auto"/>
              <w:right w:val="single" w:sz="4" w:space="0" w:color="auto"/>
            </w:tcBorders>
          </w:tcPr>
          <w:p w14:paraId="128F924A" w14:textId="77777777" w:rsidR="00FA2F99" w:rsidRPr="002F7BCB" w:rsidRDefault="00FA2F99" w:rsidP="00FA2F9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8EBEC7D" w14:textId="77777777" w:rsidR="00FA2F99" w:rsidRPr="002F7BCB" w:rsidRDefault="00FA2F99" w:rsidP="00FA2F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34.9%</w:t>
            </w:r>
          </w:p>
        </w:tc>
        <w:tc>
          <w:tcPr>
            <w:tcW w:w="1701" w:type="dxa"/>
            <w:tcBorders>
              <w:top w:val="single" w:sz="4" w:space="0" w:color="auto"/>
              <w:left w:val="single" w:sz="4" w:space="0" w:color="auto"/>
              <w:bottom w:val="single" w:sz="4" w:space="0" w:color="auto"/>
              <w:right w:val="single" w:sz="4" w:space="0" w:color="auto"/>
            </w:tcBorders>
          </w:tcPr>
          <w:p w14:paraId="7DDC3573" w14:textId="77777777" w:rsidR="00FA2F99" w:rsidRPr="002F7BCB" w:rsidRDefault="00FA2F99" w:rsidP="00FA2F9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PIRI</w:t>
            </w:r>
          </w:p>
        </w:tc>
      </w:tr>
      <w:tr w:rsidR="00FA2F99" w:rsidRPr="002F7BCB" w14:paraId="0AC44018" w14:textId="77777777" w:rsidTr="00E02E48">
        <w:trPr>
          <w:trHeight w:val="600"/>
        </w:trPr>
        <w:tc>
          <w:tcPr>
            <w:cnfStyle w:val="001000000000" w:firstRow="0" w:lastRow="0" w:firstColumn="1" w:lastColumn="0" w:oddVBand="0" w:evenVBand="0" w:oddHBand="0" w:evenHBand="0" w:firstRowFirstColumn="0" w:firstRowLastColumn="0" w:lastRowFirstColumn="0" w:lastRowLastColumn="0"/>
            <w:tcW w:w="3708"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E8122C3" w14:textId="77777777" w:rsidR="00FA2F99" w:rsidRPr="002F7BCB" w:rsidRDefault="00FA2F99" w:rsidP="00FA2F99">
            <w:pPr>
              <w:rPr>
                <w:rFonts w:asciiTheme="minorHAnsi" w:hAnsiTheme="minorHAnsi"/>
                <w:color w:val="000000"/>
                <w:sz w:val="18"/>
                <w:szCs w:val="18"/>
              </w:rPr>
            </w:pPr>
            <w:r w:rsidRPr="002F7BCB">
              <w:rPr>
                <w:rFonts w:asciiTheme="minorHAnsi" w:hAnsiTheme="minorHAnsi"/>
                <w:color w:val="000000"/>
                <w:sz w:val="18"/>
                <w:szCs w:val="18"/>
              </w:rPr>
              <w:t>5.7.  Percentage of adults earning below US $2 per day who have a deposit account</w:t>
            </w:r>
          </w:p>
        </w:tc>
        <w:tc>
          <w:tcPr>
            <w:tcW w:w="1530" w:type="dxa"/>
            <w:tcBorders>
              <w:top w:val="single" w:sz="4" w:space="0" w:color="auto"/>
              <w:left w:val="single" w:sz="4" w:space="0" w:color="auto"/>
              <w:bottom w:val="single" w:sz="4" w:space="0" w:color="auto"/>
              <w:right w:val="single" w:sz="4" w:space="0" w:color="auto"/>
            </w:tcBorders>
          </w:tcPr>
          <w:p w14:paraId="1B1F767F" w14:textId="77777777" w:rsidR="00FA2F99" w:rsidRPr="002F7BCB" w:rsidRDefault="00FA2F99"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p>
        </w:tc>
        <w:tc>
          <w:tcPr>
            <w:tcW w:w="1391" w:type="dxa"/>
            <w:tcBorders>
              <w:top w:val="single" w:sz="4" w:space="0" w:color="auto"/>
              <w:left w:val="single" w:sz="4" w:space="0" w:color="auto"/>
              <w:bottom w:val="single" w:sz="4" w:space="0" w:color="auto"/>
              <w:right w:val="single" w:sz="4" w:space="0" w:color="auto"/>
            </w:tcBorders>
          </w:tcPr>
          <w:p w14:paraId="2111AFF1" w14:textId="77777777" w:rsidR="00FA2F99" w:rsidRPr="002F7BCB" w:rsidRDefault="00FA2F99" w:rsidP="00FA2F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E97872B" w14:textId="77777777" w:rsidR="00FA2F99" w:rsidRPr="002F7BCB" w:rsidRDefault="00FA2F99"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25.6%</w:t>
            </w:r>
          </w:p>
        </w:tc>
        <w:tc>
          <w:tcPr>
            <w:tcW w:w="1701" w:type="dxa"/>
            <w:tcBorders>
              <w:top w:val="single" w:sz="4" w:space="0" w:color="auto"/>
              <w:left w:val="single" w:sz="4" w:space="0" w:color="auto"/>
              <w:bottom w:val="single" w:sz="4" w:space="0" w:color="auto"/>
              <w:right w:val="single" w:sz="4" w:space="0" w:color="auto"/>
            </w:tcBorders>
          </w:tcPr>
          <w:p w14:paraId="5629558F" w14:textId="77777777" w:rsidR="00FA2F99" w:rsidRPr="002F7BCB" w:rsidRDefault="00FA2F99" w:rsidP="00FA2F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PIRI</w:t>
            </w:r>
          </w:p>
        </w:tc>
      </w:tr>
      <w:tr w:rsidR="00FA2F99" w:rsidRPr="002F7BCB" w14:paraId="378CFDE6" w14:textId="77777777" w:rsidTr="00E02E48">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708"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25DB96D6" w14:textId="77777777" w:rsidR="00FA2F99" w:rsidRPr="002F7BCB" w:rsidRDefault="00FA2F99" w:rsidP="00FA2F99">
            <w:pPr>
              <w:rPr>
                <w:rFonts w:asciiTheme="minorHAnsi" w:hAnsiTheme="minorHAnsi"/>
                <w:color w:val="000000"/>
                <w:sz w:val="18"/>
                <w:szCs w:val="18"/>
              </w:rPr>
            </w:pPr>
            <w:r w:rsidRPr="002F7BCB">
              <w:rPr>
                <w:rFonts w:asciiTheme="minorHAnsi" w:hAnsiTheme="minorHAnsi"/>
                <w:color w:val="000000"/>
                <w:sz w:val="18"/>
                <w:szCs w:val="18"/>
              </w:rPr>
              <w:t>6.2. Percentage of adults who have sent money through mobile financial services in</w:t>
            </w:r>
          </w:p>
        </w:tc>
        <w:tc>
          <w:tcPr>
            <w:tcW w:w="1530" w:type="dxa"/>
            <w:tcBorders>
              <w:top w:val="single" w:sz="4" w:space="0" w:color="auto"/>
              <w:left w:val="single" w:sz="4" w:space="0" w:color="auto"/>
              <w:bottom w:val="single" w:sz="4" w:space="0" w:color="auto"/>
              <w:right w:val="single" w:sz="4" w:space="0" w:color="auto"/>
            </w:tcBorders>
          </w:tcPr>
          <w:p w14:paraId="74365978" w14:textId="77777777" w:rsidR="00FA2F99" w:rsidRPr="002F7BCB" w:rsidRDefault="00FA2F99" w:rsidP="00FA2F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p>
        </w:tc>
        <w:tc>
          <w:tcPr>
            <w:tcW w:w="1391" w:type="dxa"/>
            <w:tcBorders>
              <w:top w:val="single" w:sz="4" w:space="0" w:color="auto"/>
              <w:left w:val="single" w:sz="4" w:space="0" w:color="auto"/>
              <w:bottom w:val="single" w:sz="4" w:space="0" w:color="auto"/>
              <w:right w:val="single" w:sz="4" w:space="0" w:color="auto"/>
            </w:tcBorders>
          </w:tcPr>
          <w:p w14:paraId="6413469B" w14:textId="77777777" w:rsidR="00FA2F99" w:rsidRPr="002F7BCB" w:rsidRDefault="00FA2F99" w:rsidP="00FA2F9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2888572" w14:textId="77777777" w:rsidR="00FA2F99" w:rsidRPr="002F7BCB" w:rsidRDefault="00FA2F99" w:rsidP="00FA2F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0.7%</w:t>
            </w:r>
          </w:p>
        </w:tc>
        <w:tc>
          <w:tcPr>
            <w:tcW w:w="1701" w:type="dxa"/>
            <w:tcBorders>
              <w:top w:val="single" w:sz="4" w:space="0" w:color="auto"/>
              <w:left w:val="single" w:sz="4" w:space="0" w:color="auto"/>
              <w:bottom w:val="single" w:sz="4" w:space="0" w:color="auto"/>
              <w:right w:val="single" w:sz="4" w:space="0" w:color="auto"/>
            </w:tcBorders>
          </w:tcPr>
          <w:p w14:paraId="5A7437C9" w14:textId="77777777" w:rsidR="00FA2F99" w:rsidRPr="002F7BCB" w:rsidRDefault="00FA2F99" w:rsidP="00FA2F9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PIRI</w:t>
            </w:r>
          </w:p>
        </w:tc>
      </w:tr>
      <w:tr w:rsidR="00FA2F99" w:rsidRPr="002F7BCB" w14:paraId="0CE22D6E" w14:textId="77777777" w:rsidTr="00E02E48">
        <w:trPr>
          <w:trHeight w:val="600"/>
        </w:trPr>
        <w:tc>
          <w:tcPr>
            <w:cnfStyle w:val="001000000000" w:firstRow="0" w:lastRow="0" w:firstColumn="1" w:lastColumn="0" w:oddVBand="0" w:evenVBand="0" w:oddHBand="0" w:evenHBand="0" w:firstRowFirstColumn="0" w:firstRowLastColumn="0" w:lastRowFirstColumn="0" w:lastRowLastColumn="0"/>
            <w:tcW w:w="3708"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6F53F44" w14:textId="77777777" w:rsidR="00FA2F99" w:rsidRPr="002F7BCB" w:rsidRDefault="00FA2F99" w:rsidP="00FA2F99">
            <w:pPr>
              <w:rPr>
                <w:rFonts w:asciiTheme="minorHAnsi" w:hAnsiTheme="minorHAnsi"/>
                <w:color w:val="000000"/>
                <w:sz w:val="18"/>
                <w:szCs w:val="18"/>
              </w:rPr>
            </w:pPr>
            <w:r w:rsidRPr="002F7BCB">
              <w:rPr>
                <w:rFonts w:asciiTheme="minorHAnsi" w:hAnsiTheme="minorHAnsi"/>
                <w:color w:val="000000"/>
                <w:sz w:val="18"/>
                <w:szCs w:val="18"/>
              </w:rPr>
              <w:t>6.3. Percent of adults who have received money (including e-money) through mobile money in the last 12 months</w:t>
            </w:r>
          </w:p>
        </w:tc>
        <w:tc>
          <w:tcPr>
            <w:tcW w:w="1530" w:type="dxa"/>
            <w:tcBorders>
              <w:top w:val="single" w:sz="4" w:space="0" w:color="auto"/>
              <w:left w:val="single" w:sz="4" w:space="0" w:color="auto"/>
              <w:bottom w:val="single" w:sz="4" w:space="0" w:color="auto"/>
              <w:right w:val="single" w:sz="4" w:space="0" w:color="auto"/>
            </w:tcBorders>
          </w:tcPr>
          <w:p w14:paraId="7988DDF4" w14:textId="77777777" w:rsidR="00FA2F99" w:rsidRPr="002F7BCB" w:rsidRDefault="00FA2F99"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p>
        </w:tc>
        <w:tc>
          <w:tcPr>
            <w:tcW w:w="1391" w:type="dxa"/>
            <w:tcBorders>
              <w:top w:val="single" w:sz="4" w:space="0" w:color="auto"/>
              <w:left w:val="single" w:sz="4" w:space="0" w:color="auto"/>
              <w:bottom w:val="single" w:sz="4" w:space="0" w:color="auto"/>
              <w:right w:val="single" w:sz="4" w:space="0" w:color="auto"/>
            </w:tcBorders>
          </w:tcPr>
          <w:p w14:paraId="12B7DA12" w14:textId="77777777" w:rsidR="00FA2F99" w:rsidRPr="002F7BCB" w:rsidRDefault="00FA2F99" w:rsidP="00FA2F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235A4C1" w14:textId="77777777" w:rsidR="00FA2F99" w:rsidRPr="002F7BCB" w:rsidRDefault="00FA2F99" w:rsidP="00FA2F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2.71%</w:t>
            </w:r>
          </w:p>
        </w:tc>
        <w:tc>
          <w:tcPr>
            <w:tcW w:w="1701" w:type="dxa"/>
            <w:tcBorders>
              <w:top w:val="single" w:sz="4" w:space="0" w:color="auto"/>
              <w:left w:val="single" w:sz="4" w:space="0" w:color="auto"/>
              <w:bottom w:val="single" w:sz="4" w:space="0" w:color="auto"/>
              <w:right w:val="single" w:sz="4" w:space="0" w:color="auto"/>
            </w:tcBorders>
          </w:tcPr>
          <w:p w14:paraId="4EFE4D24" w14:textId="77777777" w:rsidR="00FA2F99" w:rsidRPr="002F7BCB" w:rsidRDefault="00FA2F99" w:rsidP="00FA2F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PIRI</w:t>
            </w:r>
          </w:p>
        </w:tc>
      </w:tr>
      <w:tr w:rsidR="00FA2F99" w:rsidRPr="002F7BCB" w14:paraId="3D175892" w14:textId="77777777" w:rsidTr="00E02E48">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708"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BF59626" w14:textId="77777777" w:rsidR="00FA2F99" w:rsidRPr="002F7BCB" w:rsidRDefault="00FA2F99" w:rsidP="00FA2F99">
            <w:pPr>
              <w:rPr>
                <w:rFonts w:asciiTheme="minorHAnsi" w:hAnsiTheme="minorHAnsi"/>
                <w:color w:val="000000"/>
                <w:sz w:val="18"/>
                <w:szCs w:val="18"/>
              </w:rPr>
            </w:pPr>
            <w:r w:rsidRPr="002F7BCB">
              <w:rPr>
                <w:rFonts w:asciiTheme="minorHAnsi" w:hAnsiTheme="minorHAnsi"/>
                <w:color w:val="000000"/>
                <w:sz w:val="18"/>
                <w:szCs w:val="18"/>
              </w:rPr>
              <w:t>7.1. Percent of adult women with an active deposit account OR percent of deposit accounts held by women</w:t>
            </w:r>
          </w:p>
        </w:tc>
        <w:tc>
          <w:tcPr>
            <w:tcW w:w="1530" w:type="dxa"/>
            <w:tcBorders>
              <w:top w:val="single" w:sz="4" w:space="0" w:color="auto"/>
              <w:left w:val="single" w:sz="4" w:space="0" w:color="auto"/>
              <w:bottom w:val="single" w:sz="4" w:space="0" w:color="auto"/>
              <w:right w:val="single" w:sz="4" w:space="0" w:color="auto"/>
            </w:tcBorders>
          </w:tcPr>
          <w:p w14:paraId="778E0AB1" w14:textId="77777777" w:rsidR="00FA2F99" w:rsidRPr="002F7BCB" w:rsidRDefault="00FA2F99" w:rsidP="00FA2F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p>
        </w:tc>
        <w:tc>
          <w:tcPr>
            <w:tcW w:w="1391" w:type="dxa"/>
            <w:tcBorders>
              <w:top w:val="single" w:sz="4" w:space="0" w:color="auto"/>
              <w:left w:val="single" w:sz="4" w:space="0" w:color="auto"/>
              <w:bottom w:val="single" w:sz="4" w:space="0" w:color="auto"/>
              <w:right w:val="single" w:sz="4" w:space="0" w:color="auto"/>
            </w:tcBorders>
          </w:tcPr>
          <w:p w14:paraId="1F3D0ECE" w14:textId="77777777" w:rsidR="00FA2F99" w:rsidRPr="002F7BCB" w:rsidRDefault="00FA2F99" w:rsidP="00FA2F9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46DBAE6" w14:textId="77777777" w:rsidR="00FA2F99" w:rsidRPr="002F7BCB" w:rsidRDefault="00FA2F99" w:rsidP="00FA2F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35.1%</w:t>
            </w:r>
          </w:p>
        </w:tc>
        <w:tc>
          <w:tcPr>
            <w:tcW w:w="1701" w:type="dxa"/>
            <w:tcBorders>
              <w:top w:val="single" w:sz="4" w:space="0" w:color="auto"/>
              <w:left w:val="single" w:sz="4" w:space="0" w:color="auto"/>
              <w:bottom w:val="single" w:sz="4" w:space="0" w:color="auto"/>
              <w:right w:val="single" w:sz="4" w:space="0" w:color="auto"/>
            </w:tcBorders>
          </w:tcPr>
          <w:p w14:paraId="00A7B6AA" w14:textId="77777777" w:rsidR="00FA2F99" w:rsidRPr="002F7BCB" w:rsidRDefault="00FA2F99" w:rsidP="00FA2F9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2F7BCB">
              <w:rPr>
                <w:rFonts w:asciiTheme="minorHAnsi" w:hAnsiTheme="minorHAnsi"/>
                <w:color w:val="000000"/>
                <w:sz w:val="18"/>
                <w:szCs w:val="18"/>
              </w:rPr>
              <w:t>PIRI</w:t>
            </w:r>
          </w:p>
        </w:tc>
      </w:tr>
    </w:tbl>
    <w:p w14:paraId="2DF67D5C" w14:textId="77777777" w:rsidR="00381AFE" w:rsidRDefault="00381AFE" w:rsidP="00A44A1D">
      <w:pPr>
        <w:spacing w:after="0" w:line="240" w:lineRule="auto"/>
        <w:rPr>
          <w:sz w:val="16"/>
          <w:szCs w:val="16"/>
        </w:rPr>
      </w:pPr>
    </w:p>
    <w:p w14:paraId="43ADB773" w14:textId="77777777" w:rsidR="00FA2F99" w:rsidRDefault="00FA2F99" w:rsidP="00F96CC9">
      <w:pPr>
        <w:jc w:val="both"/>
        <w:rPr>
          <w:b/>
          <w:sz w:val="32"/>
          <w:szCs w:val="32"/>
        </w:rPr>
      </w:pPr>
    </w:p>
    <w:p w14:paraId="4EFDD378" w14:textId="77777777" w:rsidR="00EC09F8" w:rsidRDefault="00EC09F8" w:rsidP="0065277F">
      <w:pPr>
        <w:jc w:val="both"/>
        <w:rPr>
          <w:b/>
          <w:sz w:val="32"/>
          <w:szCs w:val="32"/>
        </w:rPr>
      </w:pPr>
    </w:p>
    <w:p w14:paraId="3E0D9E87" w14:textId="697F63A9" w:rsidR="002F4B90" w:rsidRPr="0065277F" w:rsidRDefault="00703A30" w:rsidP="0065277F">
      <w:pPr>
        <w:jc w:val="both"/>
        <w:rPr>
          <w:b/>
          <w:sz w:val="32"/>
          <w:szCs w:val="32"/>
        </w:rPr>
      </w:pPr>
      <w:r>
        <w:rPr>
          <w:b/>
          <w:sz w:val="32"/>
          <w:szCs w:val="32"/>
        </w:rPr>
        <w:lastRenderedPageBreak/>
        <w:t>ANALYSIS OF FINDINGS</w:t>
      </w:r>
    </w:p>
    <w:p w14:paraId="47B8057E" w14:textId="57DA89E8" w:rsidR="004C2D87" w:rsidRDefault="004E328C" w:rsidP="000711C7">
      <w:r>
        <w:t xml:space="preserve">Over this </w:t>
      </w:r>
      <w:r w:rsidR="004C2D87">
        <w:t>6 months period, the information on access points in the country has been more or less stable. The following outlines specific findings on these access points since the last report</w:t>
      </w:r>
      <w:r w:rsidR="002F4B90">
        <w:t>.</w:t>
      </w:r>
    </w:p>
    <w:p w14:paraId="7D1736FE" w14:textId="2AC4350B" w:rsidR="00D16412" w:rsidRDefault="00A90469" w:rsidP="000711C7">
      <w:r w:rsidRPr="004C2D87">
        <w:rPr>
          <w:b/>
        </w:rPr>
        <w:t>Automatic Teller Machine (ATM):</w:t>
      </w:r>
      <w:r>
        <w:t xml:space="preserve"> Five ATM’s have been removed since the last report. </w:t>
      </w:r>
      <w:r w:rsidR="004E328C">
        <w:t>This disestablishment was mainly due to the low usage from the public which affected maintenance costs for the commercial bank</w:t>
      </w:r>
      <w:r w:rsidR="008E5AAD">
        <w:t>s</w:t>
      </w:r>
      <w:r w:rsidR="004E328C">
        <w:t xml:space="preserve">. </w:t>
      </w:r>
    </w:p>
    <w:p w14:paraId="43284FEE" w14:textId="5AF9101D" w:rsidR="004E328C" w:rsidRDefault="004E328C" w:rsidP="004E328C">
      <w:r w:rsidRPr="004C2D87">
        <w:rPr>
          <w:b/>
        </w:rPr>
        <w:t>EFTPOS outlets:</w:t>
      </w:r>
      <w:r w:rsidR="00317294">
        <w:t xml:space="preserve"> 34</w:t>
      </w:r>
      <w:r>
        <w:t xml:space="preserve"> EFTPOS terminals were removed since the last report.  T</w:t>
      </w:r>
      <w:r w:rsidRPr="004E328C">
        <w:t>he deactiva</w:t>
      </w:r>
      <w:r w:rsidR="00317294">
        <w:t>tion of these merchants was a result</w:t>
      </w:r>
      <w:r w:rsidRPr="004E328C">
        <w:t xml:space="preserve"> in a clean-up</w:t>
      </w:r>
      <w:r>
        <w:t xml:space="preserve"> performed by the commercial bank</w:t>
      </w:r>
      <w:r w:rsidRPr="004E328C">
        <w:t xml:space="preserve">. </w:t>
      </w:r>
      <w:r>
        <w:t xml:space="preserve">A few of the merchants had terminals but were inoperable. </w:t>
      </w:r>
      <w:r w:rsidRPr="004E328C">
        <w:t>Some inactive merchants either closed shops or had extra terminals that they did not require, thus the deactivation</w:t>
      </w:r>
      <w:r>
        <w:t>.</w:t>
      </w:r>
    </w:p>
    <w:p w14:paraId="571F3564" w14:textId="77777777" w:rsidR="0065277F" w:rsidRDefault="0065277F" w:rsidP="004E328C"/>
    <w:p w14:paraId="635025DA" w14:textId="77777777" w:rsidR="0065277F" w:rsidRDefault="0065277F" w:rsidP="004E328C"/>
    <w:p w14:paraId="14C904F3" w14:textId="77777777" w:rsidR="0065277F" w:rsidRDefault="0065277F" w:rsidP="004E328C"/>
    <w:p w14:paraId="7ECF8F34" w14:textId="77777777" w:rsidR="0065277F" w:rsidRDefault="0065277F" w:rsidP="004E328C"/>
    <w:p w14:paraId="7BB5AF2E" w14:textId="77777777" w:rsidR="0065277F" w:rsidRDefault="0065277F" w:rsidP="004E328C"/>
    <w:p w14:paraId="040E6A21" w14:textId="77777777" w:rsidR="0065277F" w:rsidRDefault="0065277F" w:rsidP="004E328C"/>
    <w:p w14:paraId="380A358D" w14:textId="77777777" w:rsidR="0065277F" w:rsidRDefault="0065277F" w:rsidP="004E328C"/>
    <w:p w14:paraId="7AB53996" w14:textId="77777777" w:rsidR="0065277F" w:rsidRDefault="0065277F" w:rsidP="004E328C"/>
    <w:p w14:paraId="156F27C1" w14:textId="77777777" w:rsidR="0065277F" w:rsidRDefault="0065277F" w:rsidP="004E328C"/>
    <w:p w14:paraId="6454DF1E" w14:textId="77777777" w:rsidR="0065277F" w:rsidRDefault="0065277F" w:rsidP="004E328C"/>
    <w:p w14:paraId="75E96DE8" w14:textId="77777777" w:rsidR="00EC09F8" w:rsidRDefault="00EC09F8" w:rsidP="004E328C"/>
    <w:p w14:paraId="172A5B50" w14:textId="77777777" w:rsidR="00EC09F8" w:rsidRDefault="00EC09F8" w:rsidP="004E328C"/>
    <w:p w14:paraId="56BF368D" w14:textId="77777777" w:rsidR="00BC1F34" w:rsidRDefault="00BC1F34" w:rsidP="004E328C"/>
    <w:p w14:paraId="62CF1F4E" w14:textId="77777777" w:rsidR="00EC09F8" w:rsidRDefault="00EC09F8" w:rsidP="004E328C"/>
    <w:p w14:paraId="3EF0DC63" w14:textId="77777777" w:rsidR="00EC09F8" w:rsidRDefault="00EC09F8" w:rsidP="004E328C"/>
    <w:p w14:paraId="39438EC4" w14:textId="77777777" w:rsidR="00EC09F8" w:rsidRDefault="00EC09F8" w:rsidP="004E328C"/>
    <w:p w14:paraId="6FC8D602" w14:textId="77777777" w:rsidR="00EC09F8" w:rsidRDefault="00EC09F8" w:rsidP="004E328C"/>
    <w:p w14:paraId="06C6FEA5" w14:textId="77777777" w:rsidR="00EC09F8" w:rsidRDefault="00EC09F8" w:rsidP="004E328C"/>
    <w:p w14:paraId="2C9F0988" w14:textId="77777777" w:rsidR="0065277F" w:rsidRDefault="0065277F" w:rsidP="004E328C"/>
    <w:p w14:paraId="6C3D7FB8" w14:textId="77777777" w:rsidR="0065277F" w:rsidRPr="002F7BCB" w:rsidRDefault="0065277F" w:rsidP="0065277F">
      <w:pPr>
        <w:jc w:val="center"/>
        <w:rPr>
          <w:b/>
          <w:sz w:val="36"/>
          <w:szCs w:val="36"/>
        </w:rPr>
      </w:pPr>
      <w:r w:rsidRPr="002F7BCB">
        <w:rPr>
          <w:b/>
          <w:sz w:val="36"/>
          <w:szCs w:val="36"/>
        </w:rPr>
        <w:lastRenderedPageBreak/>
        <w:t>Annex 1</w:t>
      </w:r>
    </w:p>
    <w:p w14:paraId="0E59A378" w14:textId="77777777" w:rsidR="0065277F" w:rsidRPr="002F7BCB" w:rsidRDefault="0065277F" w:rsidP="0065277F">
      <w:pPr>
        <w:rPr>
          <w:b/>
          <w:sz w:val="36"/>
          <w:szCs w:val="36"/>
        </w:rPr>
      </w:pPr>
      <w:r w:rsidRPr="002F7BCB">
        <w:rPr>
          <w:b/>
          <w:sz w:val="36"/>
          <w:szCs w:val="36"/>
        </w:rPr>
        <w:t>Definition Notes for the Measurement Framework</w:t>
      </w:r>
    </w:p>
    <w:p w14:paraId="1FE0DC2E" w14:textId="77777777" w:rsidR="0065277F" w:rsidRPr="002F7BCB" w:rsidRDefault="00716CED" w:rsidP="0065277F">
      <w:pPr>
        <w:spacing w:after="0" w:line="240" w:lineRule="auto"/>
        <w:rPr>
          <w:rFonts w:eastAsia="Times New Roman" w:cs="Times New Roman"/>
          <w:color w:val="000000" w:themeColor="text1"/>
          <w:lang w:eastAsia="en-NZ"/>
        </w:rPr>
      </w:pPr>
      <w:hyperlink r:id="rId10" w:anchor="RANGE!_ftn1" w:history="1">
        <w:r w:rsidR="0065277F" w:rsidRPr="002F7BCB">
          <w:rPr>
            <w:rFonts w:eastAsia="Times New Roman" w:cs="Times New Roman"/>
            <w:b/>
            <w:color w:val="000000" w:themeColor="text1"/>
            <w:lang w:eastAsia="en-NZ"/>
          </w:rPr>
          <w:t>Access points</w:t>
        </w:r>
        <w:r w:rsidR="0065277F" w:rsidRPr="002F7BCB">
          <w:rPr>
            <w:rFonts w:eastAsia="Times New Roman" w:cs="Times New Roman"/>
            <w:color w:val="000000" w:themeColor="text1"/>
            <w:lang w:eastAsia="en-NZ"/>
          </w:rPr>
          <w:t xml:space="preserve"> are defined as regulated cash-in and cash-out points. This includes traditional bank branches, bank agents and mobile financial service cash-in and cash-out points,  and other offices of regulated entities (such as MFIs) that perform cash in and cash out functions.  Depending on the type of transactions permitted, this will also include agents of regulated entities and automated teller machines (ATMs) that perform cash-in as well as cash-out transactions. </w:t>
        </w:r>
      </w:hyperlink>
    </w:p>
    <w:p w14:paraId="106BA349" w14:textId="77777777" w:rsidR="0065277F" w:rsidRPr="002F7BCB" w:rsidRDefault="0065277F" w:rsidP="0065277F"/>
    <w:p w14:paraId="0C63E171" w14:textId="77777777" w:rsidR="0065277F" w:rsidRPr="002F7BCB" w:rsidRDefault="0065277F" w:rsidP="0065277F">
      <w:pPr>
        <w:spacing w:after="0" w:line="240" w:lineRule="auto"/>
        <w:rPr>
          <w:rFonts w:eastAsia="Times New Roman" w:cs="Times New Roman"/>
          <w:b/>
          <w:bCs/>
          <w:color w:val="000000"/>
          <w:lang w:eastAsia="en-NZ"/>
        </w:rPr>
      </w:pPr>
      <w:r w:rsidRPr="002F7BCB">
        <w:rPr>
          <w:rFonts w:eastAsia="Times New Roman" w:cs="Times New Roman"/>
          <w:b/>
          <w:bCs/>
          <w:color w:val="000000"/>
          <w:lang w:eastAsia="en-NZ"/>
        </w:rPr>
        <w:t xml:space="preserve">Active - </w:t>
      </w:r>
      <w:r w:rsidRPr="002F7BCB">
        <w:rPr>
          <w:rFonts w:eastAsia="Times New Roman" w:cs="Times New Roman"/>
          <w:color w:val="000000"/>
          <w:lang w:eastAsia="en-NZ"/>
        </w:rPr>
        <w:t xml:space="preserve">a financial product is understood to be active if it has been used in the past 90 days. </w:t>
      </w:r>
    </w:p>
    <w:p w14:paraId="6ECC6F2F" w14:textId="77777777" w:rsidR="0065277F" w:rsidRPr="002F7BCB" w:rsidRDefault="0065277F" w:rsidP="0065277F">
      <w:pPr>
        <w:spacing w:after="0" w:line="240" w:lineRule="auto"/>
        <w:rPr>
          <w:rFonts w:eastAsia="Times New Roman" w:cs="Times New Roman"/>
          <w:b/>
          <w:bCs/>
          <w:color w:val="000000"/>
          <w:lang w:eastAsia="en-NZ"/>
        </w:rPr>
      </w:pPr>
    </w:p>
    <w:p w14:paraId="33D254B0" w14:textId="77777777" w:rsidR="0065277F" w:rsidRPr="002F7BCB" w:rsidRDefault="0065277F" w:rsidP="0065277F">
      <w:pPr>
        <w:spacing w:after="0" w:line="240" w:lineRule="auto"/>
        <w:rPr>
          <w:rFonts w:eastAsia="Times New Roman" w:cs="Times New Roman"/>
          <w:b/>
          <w:bCs/>
          <w:color w:val="000000"/>
          <w:lang w:eastAsia="en-NZ"/>
        </w:rPr>
      </w:pPr>
      <w:r w:rsidRPr="002F7BCB">
        <w:rPr>
          <w:rFonts w:eastAsia="Times New Roman" w:cs="Times New Roman"/>
          <w:b/>
          <w:bCs/>
          <w:color w:val="000000"/>
          <w:lang w:eastAsia="en-NZ"/>
        </w:rPr>
        <w:t>Adults</w:t>
      </w:r>
      <w:r w:rsidRPr="002F7BCB">
        <w:rPr>
          <w:rFonts w:eastAsia="Times New Roman" w:cs="Times New Roman"/>
          <w:color w:val="000000"/>
          <w:lang w:eastAsia="en-NZ"/>
        </w:rPr>
        <w:t xml:space="preserve"> refer to the population aged 15 years and older.</w:t>
      </w:r>
    </w:p>
    <w:p w14:paraId="2707AC18" w14:textId="77777777" w:rsidR="0065277F" w:rsidRPr="002F7BCB" w:rsidRDefault="0065277F" w:rsidP="0065277F"/>
    <w:p w14:paraId="6C61EB7C" w14:textId="77777777" w:rsidR="0065277F" w:rsidRPr="002F7BCB" w:rsidRDefault="00716CED" w:rsidP="0065277F">
      <w:pPr>
        <w:spacing w:after="0" w:line="240" w:lineRule="auto"/>
        <w:rPr>
          <w:rFonts w:eastAsia="Times New Roman" w:cs="Times New Roman"/>
          <w:color w:val="000000" w:themeColor="text1"/>
          <w:lang w:eastAsia="en-NZ"/>
        </w:rPr>
      </w:pPr>
      <w:hyperlink r:id="rId11" w:anchor="RANGE!A25" w:history="1">
        <w:r w:rsidR="0065277F" w:rsidRPr="002F7BCB">
          <w:rPr>
            <w:rFonts w:eastAsia="Times New Roman" w:cs="Times New Roman"/>
            <w:b/>
            <w:color w:val="000000" w:themeColor="text1"/>
            <w:lang w:eastAsia="en-NZ"/>
          </w:rPr>
          <w:t>Agent</w:t>
        </w:r>
        <w:r w:rsidR="0065277F" w:rsidRPr="002F7BCB">
          <w:rPr>
            <w:rFonts w:eastAsia="Times New Roman" w:cs="Times New Roman"/>
            <w:color w:val="000000" w:themeColor="text1"/>
            <w:lang w:eastAsia="en-NZ"/>
          </w:rPr>
          <w:t xml:space="preserve"> - any third party acting on behalf of a bank or other financial services provider (including an e-money issuer or distributor) to deal directly with customers.  This includes retailers that perform mobile financial services and cash-in and cash-out services.</w:t>
        </w:r>
      </w:hyperlink>
    </w:p>
    <w:p w14:paraId="0393DAED" w14:textId="77777777" w:rsidR="0065277F" w:rsidRPr="002F7BCB" w:rsidRDefault="0065277F" w:rsidP="0065277F">
      <w:pPr>
        <w:spacing w:after="0" w:line="240" w:lineRule="auto"/>
        <w:rPr>
          <w:rFonts w:eastAsia="Times New Roman" w:cs="Times New Roman"/>
          <w:color w:val="000000" w:themeColor="text1"/>
          <w:lang w:eastAsia="en-NZ"/>
        </w:rPr>
      </w:pPr>
    </w:p>
    <w:p w14:paraId="5A4278B5" w14:textId="77777777" w:rsidR="0065277F" w:rsidRPr="002F7BCB" w:rsidRDefault="00716CED" w:rsidP="0065277F">
      <w:pPr>
        <w:rPr>
          <w:rFonts w:eastAsia="Times New Roman" w:cs="Times New Roman"/>
          <w:color w:val="000000" w:themeColor="text1"/>
          <w:lang w:eastAsia="en-NZ"/>
        </w:rPr>
      </w:pPr>
      <w:hyperlink r:id="rId12" w:anchor="RANGE!A26" w:history="1">
        <w:r w:rsidR="0065277F" w:rsidRPr="002F7BCB">
          <w:rPr>
            <w:rFonts w:eastAsia="Times New Roman" w:cs="Times New Roman"/>
            <w:b/>
            <w:color w:val="000000" w:themeColor="text1"/>
            <w:lang w:eastAsia="en-NZ"/>
          </w:rPr>
          <w:t>ATM (Automatic Teller Machine)</w:t>
        </w:r>
        <w:r w:rsidR="0065277F" w:rsidRPr="002F7BCB">
          <w:rPr>
            <w:rFonts w:eastAsia="Times New Roman" w:cs="Times New Roman"/>
            <w:color w:val="000000" w:themeColor="text1"/>
            <w:lang w:eastAsia="en-NZ"/>
          </w:rPr>
          <w:t xml:space="preserve"> - An electronic banking outlet that allows customers to complete basic transactions without the aid of a branch representative or teller. There are two primary types of automated teller machines, or ATMs. The basic units allow the customer to only withdraw cash and receive a report of the account's balance. The more complex machines will accept deposits, facilitate credit card payments and report account information.</w:t>
        </w:r>
      </w:hyperlink>
      <w:r w:rsidR="0065277F" w:rsidRPr="002F7BCB">
        <w:rPr>
          <w:rFonts w:eastAsia="Times New Roman" w:cs="Times New Roman"/>
          <w:color w:val="000000" w:themeColor="text1"/>
          <w:lang w:eastAsia="en-NZ"/>
        </w:rPr>
        <w:t xml:space="preserve"> </w:t>
      </w:r>
    </w:p>
    <w:p w14:paraId="431DA3F3" w14:textId="77777777" w:rsidR="0065277F" w:rsidRPr="002F7BCB" w:rsidRDefault="0065277F" w:rsidP="0065277F">
      <w:pPr>
        <w:spacing w:after="0" w:line="240" w:lineRule="auto"/>
        <w:rPr>
          <w:rFonts w:eastAsia="Times New Roman" w:cs="Times New Roman"/>
          <w:color w:val="000000" w:themeColor="text1"/>
          <w:lang w:eastAsia="en-NZ"/>
        </w:rPr>
      </w:pPr>
    </w:p>
    <w:p w14:paraId="63278634" w14:textId="77777777" w:rsidR="0065277F" w:rsidRPr="002F7BCB" w:rsidRDefault="0065277F" w:rsidP="0065277F">
      <w:pPr>
        <w:spacing w:after="0" w:line="240" w:lineRule="auto"/>
        <w:rPr>
          <w:rFonts w:eastAsia="Times New Roman" w:cs="Times New Roman"/>
          <w:color w:val="000000"/>
          <w:lang w:eastAsia="en-NZ"/>
        </w:rPr>
      </w:pPr>
      <w:r w:rsidRPr="002F7BCB">
        <w:rPr>
          <w:rFonts w:eastAsia="Times New Roman" w:cs="Times New Roman"/>
          <w:color w:val="000000"/>
          <w:lang w:eastAsia="en-NZ"/>
        </w:rPr>
        <w:t xml:space="preserve">A </w:t>
      </w:r>
      <w:r w:rsidRPr="002F7BCB">
        <w:rPr>
          <w:rFonts w:eastAsia="Times New Roman" w:cs="Times New Roman"/>
          <w:b/>
          <w:bCs/>
          <w:color w:val="000000"/>
          <w:lang w:eastAsia="en-NZ"/>
        </w:rPr>
        <w:t xml:space="preserve">bank branch </w:t>
      </w:r>
      <w:r w:rsidRPr="002F7BCB">
        <w:rPr>
          <w:rFonts w:eastAsia="Times New Roman" w:cs="Times New Roman"/>
          <w:color w:val="000000"/>
          <w:lang w:eastAsia="en-NZ"/>
        </w:rPr>
        <w:t xml:space="preserve">is a retail location different than a bank’s corporate office where a financial institution offers face-to-face and automated services.  </w:t>
      </w:r>
    </w:p>
    <w:p w14:paraId="7E546C6D" w14:textId="77777777" w:rsidR="0065277F" w:rsidRPr="002F7BCB" w:rsidRDefault="0065277F" w:rsidP="0065277F">
      <w:pPr>
        <w:spacing w:after="0" w:line="240" w:lineRule="auto"/>
        <w:rPr>
          <w:rFonts w:eastAsia="Times New Roman" w:cs="Times New Roman"/>
          <w:color w:val="000000"/>
          <w:lang w:eastAsia="en-NZ"/>
        </w:rPr>
      </w:pPr>
    </w:p>
    <w:p w14:paraId="07D09540" w14:textId="77777777" w:rsidR="0065277F" w:rsidRPr="002F7BCB" w:rsidRDefault="0065277F" w:rsidP="0065277F">
      <w:pPr>
        <w:spacing w:after="0" w:line="240" w:lineRule="auto"/>
        <w:rPr>
          <w:rFonts w:eastAsia="Times New Roman" w:cs="Times New Roman"/>
          <w:color w:val="000000"/>
          <w:lang w:eastAsia="en-NZ"/>
        </w:rPr>
      </w:pPr>
      <w:r w:rsidRPr="002F7BCB">
        <w:rPr>
          <w:rFonts w:eastAsia="Times New Roman" w:cs="Times New Roman"/>
          <w:b/>
          <w:bCs/>
          <w:color w:val="000000"/>
          <w:lang w:eastAsia="en-NZ"/>
        </w:rPr>
        <w:t xml:space="preserve">Cash-in </w:t>
      </w:r>
      <w:r w:rsidRPr="002F7BCB">
        <w:rPr>
          <w:rFonts w:eastAsia="Times New Roman" w:cs="Times New Roman"/>
          <w:color w:val="000000"/>
          <w:lang w:eastAsia="en-NZ"/>
        </w:rPr>
        <w:t>is the exchange of cash for electronic value (e-money).</w:t>
      </w:r>
    </w:p>
    <w:p w14:paraId="67FA7145" w14:textId="77777777" w:rsidR="0065277F" w:rsidRPr="002F7BCB" w:rsidRDefault="0065277F" w:rsidP="0065277F">
      <w:pPr>
        <w:spacing w:after="0" w:line="240" w:lineRule="auto"/>
        <w:rPr>
          <w:rFonts w:eastAsia="Times New Roman" w:cs="Times New Roman"/>
          <w:color w:val="000000"/>
          <w:lang w:eastAsia="en-NZ"/>
        </w:rPr>
      </w:pPr>
    </w:p>
    <w:p w14:paraId="0DD846AD" w14:textId="77777777" w:rsidR="0065277F" w:rsidRPr="002F7BCB" w:rsidRDefault="0065277F" w:rsidP="0065277F">
      <w:pPr>
        <w:spacing w:after="0" w:line="240" w:lineRule="auto"/>
        <w:rPr>
          <w:rFonts w:eastAsia="Times New Roman" w:cs="Times New Roman"/>
          <w:b/>
          <w:bCs/>
          <w:color w:val="000000"/>
          <w:lang w:eastAsia="en-NZ"/>
        </w:rPr>
      </w:pPr>
      <w:r w:rsidRPr="002F7BCB">
        <w:rPr>
          <w:rFonts w:eastAsia="Times New Roman" w:cs="Times New Roman"/>
          <w:b/>
          <w:bCs/>
          <w:color w:val="000000"/>
          <w:lang w:eastAsia="en-NZ"/>
        </w:rPr>
        <w:t xml:space="preserve">Cash-out </w:t>
      </w:r>
      <w:r w:rsidRPr="002F7BCB">
        <w:rPr>
          <w:rFonts w:eastAsia="Times New Roman" w:cs="Times New Roman"/>
          <w:color w:val="000000"/>
          <w:lang w:eastAsia="en-NZ"/>
        </w:rPr>
        <w:t>is the exchange of electronic value (e-money) for cash.</w:t>
      </w:r>
    </w:p>
    <w:p w14:paraId="3D1C0FD3" w14:textId="77777777" w:rsidR="0065277F" w:rsidRPr="002F7BCB" w:rsidRDefault="0065277F" w:rsidP="0065277F">
      <w:pPr>
        <w:spacing w:after="0" w:line="240" w:lineRule="auto"/>
        <w:rPr>
          <w:rFonts w:eastAsia="Times New Roman" w:cs="Times New Roman"/>
          <w:b/>
          <w:bCs/>
          <w:color w:val="000000"/>
          <w:lang w:eastAsia="en-NZ"/>
        </w:rPr>
      </w:pPr>
    </w:p>
    <w:p w14:paraId="7897D53C" w14:textId="77777777" w:rsidR="0065277F" w:rsidRPr="002F7BCB" w:rsidRDefault="0065277F" w:rsidP="0065277F">
      <w:pPr>
        <w:spacing w:after="0" w:line="240" w:lineRule="auto"/>
        <w:rPr>
          <w:rFonts w:eastAsia="Times New Roman" w:cs="Times New Roman"/>
          <w:b/>
          <w:bCs/>
          <w:color w:val="000000"/>
          <w:lang w:eastAsia="en-NZ"/>
        </w:rPr>
      </w:pPr>
      <w:r w:rsidRPr="002F7BCB">
        <w:rPr>
          <w:rFonts w:eastAsia="Times New Roman" w:cs="Times New Roman"/>
          <w:b/>
          <w:bCs/>
          <w:color w:val="000000"/>
          <w:lang w:eastAsia="en-NZ"/>
        </w:rPr>
        <w:t xml:space="preserve">Document— </w:t>
      </w:r>
      <w:r w:rsidRPr="002F7BCB">
        <w:rPr>
          <w:rFonts w:eastAsia="Times New Roman" w:cs="Times New Roman"/>
          <w:color w:val="000000"/>
          <w:lang w:eastAsia="en-NZ"/>
        </w:rPr>
        <w:t xml:space="preserve">in this case we refer to the identification documents that are required to open an account, and not the forms that must be filled out.  In the Pacific, this often includes a driver’s license, passport, or birth certificate, among other documents. </w:t>
      </w:r>
    </w:p>
    <w:p w14:paraId="73DC58DA" w14:textId="77777777" w:rsidR="0065277F" w:rsidRPr="002F7BCB" w:rsidRDefault="0065277F" w:rsidP="0065277F">
      <w:pPr>
        <w:spacing w:after="0" w:line="240" w:lineRule="auto"/>
        <w:rPr>
          <w:rFonts w:eastAsia="Times New Roman" w:cs="Times New Roman"/>
          <w:b/>
          <w:bCs/>
          <w:color w:val="000000"/>
          <w:lang w:eastAsia="en-NZ"/>
        </w:rPr>
      </w:pPr>
    </w:p>
    <w:p w14:paraId="67499F59" w14:textId="77777777" w:rsidR="0065277F" w:rsidRPr="002F7BCB" w:rsidRDefault="00716CED" w:rsidP="0065277F">
      <w:pPr>
        <w:spacing w:after="0" w:line="240" w:lineRule="auto"/>
        <w:rPr>
          <w:rFonts w:eastAsia="Times New Roman" w:cs="Times New Roman"/>
          <w:color w:val="000000" w:themeColor="text1"/>
          <w:lang w:eastAsia="en-NZ"/>
        </w:rPr>
      </w:pPr>
      <w:hyperlink r:id="rId13" w:anchor="RANGE!A27" w:history="1">
        <w:r w:rsidR="0065277F" w:rsidRPr="002F7BCB">
          <w:rPr>
            <w:rFonts w:eastAsia="Times New Roman" w:cs="Times New Roman"/>
            <w:b/>
            <w:color w:val="000000" w:themeColor="text1"/>
            <w:lang w:eastAsia="en-NZ"/>
          </w:rPr>
          <w:t>E-money</w:t>
        </w:r>
        <w:r w:rsidR="0065277F" w:rsidRPr="002F7BCB">
          <w:rPr>
            <w:rFonts w:eastAsia="Times New Roman" w:cs="Times New Roman"/>
            <w:color w:val="000000" w:themeColor="text1"/>
            <w:lang w:eastAsia="en-NZ"/>
          </w:rPr>
          <w:t xml:space="preserve"> (also called mobile money) — A type of monetary value electronically recorded and generally understood to have the following attributes: (</w:t>
        </w:r>
        <w:proofErr w:type="spellStart"/>
        <w:r w:rsidR="0065277F" w:rsidRPr="002F7BCB">
          <w:rPr>
            <w:rFonts w:eastAsia="Times New Roman" w:cs="Times New Roman"/>
            <w:color w:val="000000" w:themeColor="text1"/>
            <w:lang w:eastAsia="en-NZ"/>
          </w:rPr>
          <w:t>i</w:t>
        </w:r>
        <w:proofErr w:type="spellEnd"/>
        <w:r w:rsidR="0065277F" w:rsidRPr="002F7BCB">
          <w:rPr>
            <w:rFonts w:eastAsia="Times New Roman" w:cs="Times New Roman"/>
            <w:color w:val="000000" w:themeColor="text1"/>
            <w:lang w:eastAsia="en-NZ"/>
          </w:rPr>
          <w:t>) issued upon receipt of funds in an amount no lesser in value than the value of the e-money issued; (ii) stored on an electronic device (e.g. a chip, prepaid card, mobile phone, or computer system); (iii) accepted as a means of payment by parties other than the issuer; and (iv) convertible into cash.  This does not include the transfer of airtime.</w:t>
        </w:r>
      </w:hyperlink>
    </w:p>
    <w:p w14:paraId="0E7318CA" w14:textId="77777777" w:rsidR="0065277F" w:rsidRPr="002F7BCB" w:rsidRDefault="0065277F" w:rsidP="0065277F">
      <w:pPr>
        <w:spacing w:after="0" w:line="240" w:lineRule="auto"/>
        <w:rPr>
          <w:rFonts w:eastAsia="Times New Roman" w:cs="Times New Roman"/>
          <w:color w:val="000000" w:themeColor="text1"/>
          <w:lang w:eastAsia="en-NZ"/>
        </w:rPr>
      </w:pPr>
    </w:p>
    <w:p w14:paraId="708AAFBB" w14:textId="77777777" w:rsidR="0065277F" w:rsidRPr="002F7BCB" w:rsidRDefault="00716CED" w:rsidP="0065277F">
      <w:pPr>
        <w:rPr>
          <w:rFonts w:eastAsia="Times New Roman" w:cs="Times New Roman"/>
          <w:color w:val="000000" w:themeColor="text1"/>
          <w:lang w:eastAsia="en-NZ"/>
        </w:rPr>
      </w:pPr>
      <w:hyperlink r:id="rId14" w:anchor="RANGE!A28" w:history="1">
        <w:r w:rsidR="0065277F" w:rsidRPr="002F7BCB">
          <w:rPr>
            <w:rFonts w:eastAsia="Times New Roman" w:cs="Times New Roman"/>
            <w:b/>
            <w:color w:val="000000" w:themeColor="text1"/>
            <w:lang w:eastAsia="en-NZ"/>
          </w:rPr>
          <w:t>EFTPOS</w:t>
        </w:r>
        <w:r w:rsidR="0065277F" w:rsidRPr="002F7BCB">
          <w:rPr>
            <w:rFonts w:eastAsia="Times New Roman" w:cs="Times New Roman"/>
            <w:color w:val="000000" w:themeColor="text1"/>
            <w:lang w:eastAsia="en-NZ"/>
          </w:rPr>
          <w:t xml:space="preserve"> </w:t>
        </w:r>
        <w:r w:rsidR="0065277F" w:rsidRPr="002F7BCB">
          <w:rPr>
            <w:rFonts w:eastAsia="Times New Roman" w:cs="Times New Roman"/>
            <w:b/>
            <w:color w:val="000000" w:themeColor="text1"/>
            <w:lang w:eastAsia="en-NZ"/>
          </w:rPr>
          <w:t>access point</w:t>
        </w:r>
        <w:r w:rsidR="0065277F" w:rsidRPr="002F7BCB">
          <w:rPr>
            <w:rFonts w:eastAsia="Times New Roman" w:cs="Times New Roman"/>
            <w:color w:val="000000" w:themeColor="text1"/>
            <w:lang w:eastAsia="en-NZ"/>
          </w:rPr>
          <w:t xml:space="preserve"> is an access point possessing a terminal which captures payment information by electronic means using a card-reading electronic point of sale device.  Payments and withdrawals of cash by means of payment cards can be done at these electronic payment terminals in shops, for example.</w:t>
        </w:r>
      </w:hyperlink>
      <w:r w:rsidR="0065277F" w:rsidRPr="002F7BCB">
        <w:rPr>
          <w:rFonts w:eastAsia="Times New Roman" w:cs="Times New Roman"/>
          <w:color w:val="000000" w:themeColor="text1"/>
          <w:lang w:eastAsia="en-NZ"/>
        </w:rPr>
        <w:t xml:space="preserve"> </w:t>
      </w:r>
    </w:p>
    <w:p w14:paraId="13849B89" w14:textId="77777777" w:rsidR="0065277F" w:rsidRPr="002F7BCB" w:rsidRDefault="0065277F" w:rsidP="0065277F">
      <w:pPr>
        <w:spacing w:after="0" w:line="240" w:lineRule="auto"/>
        <w:rPr>
          <w:rFonts w:eastAsia="Times New Roman" w:cs="Times New Roman"/>
          <w:b/>
          <w:bCs/>
          <w:color w:val="000000"/>
          <w:lang w:eastAsia="en-NZ"/>
        </w:rPr>
      </w:pPr>
      <w:r w:rsidRPr="002F7BCB">
        <w:rPr>
          <w:rFonts w:eastAsia="Times New Roman" w:cs="Times New Roman"/>
          <w:b/>
          <w:bCs/>
          <w:color w:val="000000"/>
          <w:lang w:eastAsia="en-NZ"/>
        </w:rPr>
        <w:lastRenderedPageBreak/>
        <w:t xml:space="preserve">Mobile banking </w:t>
      </w:r>
      <w:r w:rsidRPr="002F7BCB">
        <w:rPr>
          <w:rFonts w:eastAsia="Times New Roman" w:cs="Times New Roman"/>
          <w:color w:val="000000"/>
          <w:lang w:eastAsia="en-NZ"/>
        </w:rPr>
        <w:t xml:space="preserve">is the use of a mobile phone to access banking services and </w:t>
      </w:r>
      <w:proofErr w:type="gramStart"/>
      <w:r w:rsidRPr="002F7BCB">
        <w:rPr>
          <w:rFonts w:eastAsia="Times New Roman" w:cs="Times New Roman"/>
          <w:color w:val="000000"/>
          <w:lang w:eastAsia="en-NZ"/>
        </w:rPr>
        <w:t>execute</w:t>
      </w:r>
      <w:proofErr w:type="gramEnd"/>
      <w:r w:rsidRPr="002F7BCB">
        <w:rPr>
          <w:rFonts w:eastAsia="Times New Roman" w:cs="Times New Roman"/>
          <w:color w:val="000000"/>
          <w:lang w:eastAsia="en-NZ"/>
        </w:rPr>
        <w:t xml:space="preserve"> financial transactions. This covers both transactional and non-transactional services, such as viewing financial information on a bank customer’s mobile phone.</w:t>
      </w:r>
    </w:p>
    <w:p w14:paraId="614FA152" w14:textId="77777777" w:rsidR="0065277F" w:rsidRPr="002F7BCB" w:rsidRDefault="0065277F" w:rsidP="0065277F">
      <w:pPr>
        <w:rPr>
          <w:rFonts w:eastAsia="Times New Roman" w:cs="Times New Roman"/>
          <w:color w:val="000000" w:themeColor="text1"/>
          <w:lang w:eastAsia="en-NZ"/>
        </w:rPr>
      </w:pPr>
    </w:p>
    <w:p w14:paraId="46ECBCBA" w14:textId="77777777" w:rsidR="0065277F" w:rsidRPr="002F7BCB" w:rsidRDefault="00716CED" w:rsidP="0065277F">
      <w:pPr>
        <w:spacing w:after="0" w:line="240" w:lineRule="auto"/>
        <w:rPr>
          <w:rFonts w:eastAsia="Times New Roman" w:cs="Times New Roman"/>
          <w:color w:val="000000" w:themeColor="text1"/>
          <w:lang w:eastAsia="en-NZ"/>
        </w:rPr>
      </w:pPr>
      <w:hyperlink r:id="rId15" w:anchor="RANGE!A33" w:history="1">
        <w:proofErr w:type="gramStart"/>
        <w:r w:rsidR="0065277F" w:rsidRPr="002F7BCB">
          <w:rPr>
            <w:rFonts w:eastAsia="Times New Roman" w:cs="Times New Roman"/>
            <w:b/>
            <w:color w:val="000000" w:themeColor="text1"/>
            <w:lang w:eastAsia="en-NZ"/>
          </w:rPr>
          <w:t>Mobile financial services (MFS)</w:t>
        </w:r>
        <w:r w:rsidR="0065277F" w:rsidRPr="002F7BCB">
          <w:rPr>
            <w:rFonts w:eastAsia="Times New Roman" w:cs="Times New Roman"/>
            <w:color w:val="000000" w:themeColor="text1"/>
            <w:lang w:eastAsia="en-NZ"/>
          </w:rPr>
          <w:t xml:space="preserve"> is</w:t>
        </w:r>
        <w:proofErr w:type="gramEnd"/>
        <w:r w:rsidR="0065277F" w:rsidRPr="002F7BCB">
          <w:rPr>
            <w:rFonts w:eastAsia="Times New Roman" w:cs="Times New Roman"/>
            <w:color w:val="000000" w:themeColor="text1"/>
            <w:lang w:eastAsia="en-NZ"/>
          </w:rPr>
          <w:t xml:space="preserve"> the use of a mobile phone to access financial services and execute financial transactions. This includes both transactional and non-transactional services, such as viewing financial information on a user’s mobile phone.</w:t>
        </w:r>
      </w:hyperlink>
      <w:r w:rsidR="0065277F" w:rsidRPr="002F7BCB">
        <w:rPr>
          <w:rFonts w:eastAsia="Times New Roman" w:cs="Times New Roman"/>
          <w:color w:val="000000" w:themeColor="text1"/>
          <w:lang w:eastAsia="en-NZ"/>
        </w:rPr>
        <w:t xml:space="preserve"> </w:t>
      </w:r>
    </w:p>
    <w:p w14:paraId="031101AB" w14:textId="77777777" w:rsidR="0065277F" w:rsidRPr="002F7BCB" w:rsidRDefault="0065277F" w:rsidP="0065277F">
      <w:pPr>
        <w:rPr>
          <w:rFonts w:eastAsia="Times New Roman" w:cs="Times New Roman"/>
          <w:color w:val="000000" w:themeColor="text1"/>
          <w:lang w:eastAsia="en-NZ"/>
        </w:rPr>
      </w:pPr>
    </w:p>
    <w:p w14:paraId="3E79A548" w14:textId="77777777" w:rsidR="0065277F" w:rsidRPr="002F7BCB" w:rsidRDefault="0065277F" w:rsidP="0065277F">
      <w:pPr>
        <w:spacing w:after="0" w:line="240" w:lineRule="auto"/>
        <w:rPr>
          <w:rFonts w:eastAsia="Times New Roman" w:cs="Times New Roman"/>
          <w:color w:val="000000"/>
          <w:lang w:eastAsia="en-NZ"/>
        </w:rPr>
      </w:pPr>
      <w:r w:rsidRPr="002F7BCB">
        <w:rPr>
          <w:rFonts w:eastAsia="Times New Roman" w:cs="Times New Roman"/>
          <w:b/>
          <w:bCs/>
          <w:color w:val="000000"/>
          <w:lang w:eastAsia="en-NZ"/>
        </w:rPr>
        <w:t xml:space="preserve">Mobile financial services account </w:t>
      </w:r>
      <w:r w:rsidRPr="002F7BCB">
        <w:rPr>
          <w:rFonts w:eastAsia="Times New Roman" w:cs="Times New Roman"/>
          <w:color w:val="000000"/>
          <w:lang w:eastAsia="en-NZ"/>
        </w:rPr>
        <w:t xml:space="preserve">is the storage of e-money linked to a mobile account and a bank account.  This is the account in a bank-led model of mobile financial services.  </w:t>
      </w:r>
    </w:p>
    <w:p w14:paraId="5BC6A2C8" w14:textId="77777777" w:rsidR="0065277F" w:rsidRPr="002F7BCB" w:rsidRDefault="0065277F" w:rsidP="0065277F">
      <w:pPr>
        <w:spacing w:after="0" w:line="240" w:lineRule="auto"/>
        <w:rPr>
          <w:rFonts w:eastAsia="Times New Roman" w:cs="Times New Roman"/>
          <w:color w:val="000000"/>
          <w:lang w:eastAsia="en-NZ"/>
        </w:rPr>
      </w:pPr>
    </w:p>
    <w:p w14:paraId="6E5FCB83" w14:textId="77777777" w:rsidR="0065277F" w:rsidRPr="002F7BCB" w:rsidRDefault="0065277F" w:rsidP="0065277F">
      <w:pPr>
        <w:spacing w:after="0" w:line="240" w:lineRule="auto"/>
        <w:rPr>
          <w:rFonts w:eastAsia="Times New Roman" w:cs="Times New Roman"/>
          <w:color w:val="000000"/>
          <w:lang w:eastAsia="en-NZ"/>
        </w:rPr>
      </w:pPr>
      <w:r w:rsidRPr="002F7BCB">
        <w:rPr>
          <w:rFonts w:eastAsia="Times New Roman" w:cs="Times New Roman"/>
          <w:b/>
          <w:bCs/>
          <w:color w:val="000000"/>
          <w:lang w:eastAsia="en-NZ"/>
        </w:rPr>
        <w:t xml:space="preserve">Mobile financial services access points— </w:t>
      </w:r>
      <w:r w:rsidRPr="002F7BCB">
        <w:rPr>
          <w:rFonts w:eastAsia="Times New Roman" w:cs="Times New Roman"/>
          <w:color w:val="000000"/>
          <w:lang w:eastAsia="en-NZ"/>
        </w:rPr>
        <w:t xml:space="preserve">access points that also allow for cash in and cash out of mobile money into and out of mobile wallets or a MFS accounts.  This is a subset of all access points. </w:t>
      </w:r>
    </w:p>
    <w:p w14:paraId="6C0F6044" w14:textId="77777777" w:rsidR="0065277F" w:rsidRPr="002F7BCB" w:rsidRDefault="0065277F" w:rsidP="0065277F">
      <w:pPr>
        <w:spacing w:after="0" w:line="240" w:lineRule="auto"/>
        <w:rPr>
          <w:rFonts w:eastAsia="Times New Roman" w:cs="Times New Roman"/>
          <w:color w:val="000000"/>
          <w:lang w:eastAsia="en-NZ"/>
        </w:rPr>
      </w:pPr>
    </w:p>
    <w:p w14:paraId="24ECFE53" w14:textId="77777777" w:rsidR="0065277F" w:rsidRPr="002F7BCB" w:rsidRDefault="0065277F" w:rsidP="0065277F">
      <w:pPr>
        <w:spacing w:after="0" w:line="240" w:lineRule="auto"/>
        <w:rPr>
          <w:rFonts w:eastAsia="Times New Roman" w:cs="Times New Roman"/>
          <w:color w:val="000000"/>
          <w:lang w:eastAsia="en-NZ"/>
        </w:rPr>
      </w:pPr>
      <w:r w:rsidRPr="002F7BCB">
        <w:rPr>
          <w:rFonts w:eastAsia="Times New Roman" w:cs="Times New Roman"/>
          <w:b/>
          <w:bCs/>
          <w:color w:val="000000"/>
          <w:lang w:eastAsia="en-NZ"/>
        </w:rPr>
        <w:t xml:space="preserve">Mobile payment— </w:t>
      </w:r>
      <w:r w:rsidRPr="002F7BCB">
        <w:rPr>
          <w:rFonts w:eastAsia="Times New Roman" w:cs="Times New Roman"/>
          <w:color w:val="000000"/>
          <w:lang w:eastAsia="en-NZ"/>
        </w:rPr>
        <w:t>a payment with electronic funds transfer that is made with a mobile phone.</w:t>
      </w:r>
    </w:p>
    <w:p w14:paraId="32E5861A" w14:textId="77777777" w:rsidR="0065277F" w:rsidRPr="002F7BCB" w:rsidRDefault="0065277F" w:rsidP="0065277F">
      <w:pPr>
        <w:spacing w:after="0" w:line="240" w:lineRule="auto"/>
        <w:rPr>
          <w:rFonts w:eastAsia="Times New Roman" w:cs="Times New Roman"/>
          <w:color w:val="000000"/>
          <w:lang w:eastAsia="en-NZ"/>
        </w:rPr>
      </w:pPr>
    </w:p>
    <w:p w14:paraId="2A566605" w14:textId="77777777" w:rsidR="0065277F" w:rsidRPr="002F7BCB" w:rsidRDefault="0065277F" w:rsidP="0065277F">
      <w:pPr>
        <w:spacing w:after="0" w:line="240" w:lineRule="auto"/>
        <w:rPr>
          <w:rFonts w:eastAsia="Times New Roman" w:cs="Times New Roman"/>
          <w:color w:val="000000"/>
          <w:lang w:eastAsia="en-NZ"/>
        </w:rPr>
      </w:pPr>
      <w:r w:rsidRPr="002F7BCB">
        <w:rPr>
          <w:rFonts w:eastAsia="Times New Roman" w:cs="Times New Roman"/>
          <w:b/>
          <w:bCs/>
          <w:color w:val="000000"/>
          <w:lang w:eastAsia="en-NZ"/>
        </w:rPr>
        <w:t xml:space="preserve">Mobile wallet— </w:t>
      </w:r>
      <w:r w:rsidRPr="002F7BCB">
        <w:rPr>
          <w:rFonts w:eastAsia="Times New Roman" w:cs="Times New Roman"/>
          <w:color w:val="000000"/>
          <w:lang w:eastAsia="en-NZ"/>
        </w:rPr>
        <w:t>the storage of e-money that can be loaded or cashed out, but that can be held only in a mobile linked account and not customer bank account.  This is the account in a mobile network operator (MNO)-led model of mobile financial services.</w:t>
      </w:r>
    </w:p>
    <w:p w14:paraId="4F9487BC" w14:textId="77777777" w:rsidR="0065277F" w:rsidRPr="002F7BCB" w:rsidRDefault="0065277F" w:rsidP="0065277F">
      <w:pPr>
        <w:spacing w:after="0" w:line="240" w:lineRule="auto"/>
        <w:rPr>
          <w:rFonts w:eastAsia="Times New Roman" w:cs="Times New Roman"/>
          <w:color w:val="000000"/>
          <w:lang w:eastAsia="en-NZ"/>
        </w:rPr>
      </w:pPr>
    </w:p>
    <w:p w14:paraId="102820CD" w14:textId="77777777" w:rsidR="0065277F" w:rsidRPr="002F7BCB" w:rsidRDefault="0065277F" w:rsidP="0065277F">
      <w:pPr>
        <w:spacing w:after="0" w:line="240" w:lineRule="auto"/>
        <w:rPr>
          <w:rFonts w:ascii="Calibri" w:eastAsia="Times New Roman" w:hAnsi="Calibri" w:cs="Times New Roman"/>
          <w:b/>
          <w:bCs/>
          <w:color w:val="000000"/>
          <w:lang w:eastAsia="en-NZ"/>
        </w:rPr>
      </w:pPr>
      <w:r w:rsidRPr="002F7BCB">
        <w:rPr>
          <w:rFonts w:ascii="Calibri" w:eastAsia="Times New Roman" w:hAnsi="Calibri" w:cs="Times New Roman"/>
          <w:color w:val="000000"/>
          <w:lang w:eastAsia="en-NZ"/>
        </w:rPr>
        <w:t xml:space="preserve">A </w:t>
      </w:r>
      <w:r w:rsidRPr="002F7BCB">
        <w:rPr>
          <w:rFonts w:ascii="Calibri" w:eastAsia="Times New Roman" w:hAnsi="Calibri" w:cs="Times New Roman"/>
          <w:b/>
          <w:bCs/>
          <w:color w:val="000000"/>
          <w:lang w:eastAsia="en-NZ"/>
        </w:rPr>
        <w:t xml:space="preserve">regulated deposit </w:t>
      </w:r>
      <w:r w:rsidRPr="002F7BCB">
        <w:rPr>
          <w:rFonts w:ascii="Calibri" w:eastAsia="Times New Roman" w:hAnsi="Calibri" w:cs="Times New Roman"/>
          <w:color w:val="000000"/>
          <w:lang w:eastAsia="en-NZ"/>
        </w:rPr>
        <w:t xml:space="preserve">or </w:t>
      </w:r>
      <w:r w:rsidRPr="002F7BCB">
        <w:rPr>
          <w:rFonts w:ascii="Calibri" w:eastAsia="Times New Roman" w:hAnsi="Calibri" w:cs="Times New Roman"/>
          <w:b/>
          <w:bCs/>
          <w:color w:val="000000"/>
          <w:lang w:eastAsia="en-NZ"/>
        </w:rPr>
        <w:t xml:space="preserve">credit </w:t>
      </w:r>
      <w:r w:rsidRPr="002F7BCB">
        <w:rPr>
          <w:rFonts w:ascii="Calibri" w:eastAsia="Times New Roman" w:hAnsi="Calibri" w:cs="Times New Roman"/>
          <w:color w:val="000000"/>
          <w:lang w:eastAsia="en-NZ"/>
        </w:rPr>
        <w:t xml:space="preserve">account is an account held by a regulated entity. </w:t>
      </w:r>
    </w:p>
    <w:p w14:paraId="6E7F025B" w14:textId="77777777" w:rsidR="0065277F" w:rsidRPr="002F7BCB" w:rsidRDefault="0065277F" w:rsidP="0065277F"/>
    <w:p w14:paraId="3EE3DE50" w14:textId="77777777" w:rsidR="004C2D87" w:rsidRPr="004C2D87" w:rsidRDefault="004C2D87" w:rsidP="004C2D87">
      <w:pPr>
        <w:jc w:val="both"/>
      </w:pPr>
    </w:p>
    <w:sectPr w:rsidR="004C2D87" w:rsidRPr="004C2D87" w:rsidSect="00B93B65">
      <w:footerReference w:type="default" r:id="rId16"/>
      <w:pgSz w:w="11906" w:h="16838"/>
      <w:pgMar w:top="1440" w:right="1440" w:bottom="1440" w:left="1440" w:header="708" w:footer="708" w:gutter="0"/>
      <w:pgNumType w:start="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3E8520" w15:done="0"/>
  <w15:commentEx w15:paraId="7385F57D" w15:done="0"/>
  <w15:commentEx w15:paraId="7527A695" w15:done="0"/>
  <w15:commentEx w15:paraId="0D2E8ACF" w15:done="0"/>
  <w15:commentEx w15:paraId="4D8FD13C" w15:done="0"/>
  <w15:commentEx w15:paraId="215AC0D1" w15:done="0"/>
  <w15:commentEx w15:paraId="31A3D97C" w15:done="0"/>
  <w15:commentEx w15:paraId="75DB2F6D" w15:done="0"/>
  <w15:commentEx w15:paraId="74B77071" w15:done="0"/>
  <w15:commentEx w15:paraId="3C618507" w15:done="0"/>
  <w15:commentEx w15:paraId="04393FA1" w15:done="0"/>
  <w15:commentEx w15:paraId="234AAE0D" w15:done="0"/>
  <w15:commentEx w15:paraId="0303E2CC" w15:done="0"/>
  <w15:commentEx w15:paraId="472056D2" w15:done="0"/>
  <w15:commentEx w15:paraId="3EAF7E4C" w15:done="0"/>
  <w15:commentEx w15:paraId="6D8D0971" w15:done="0"/>
  <w15:commentEx w15:paraId="1A96BE17" w15:done="0"/>
  <w15:commentEx w15:paraId="56B01A1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C8361" w14:textId="77777777" w:rsidR="00716CED" w:rsidRDefault="00716CED" w:rsidP="00F96CC9">
      <w:pPr>
        <w:spacing w:after="0" w:line="240" w:lineRule="auto"/>
      </w:pPr>
      <w:r>
        <w:separator/>
      </w:r>
    </w:p>
  </w:endnote>
  <w:endnote w:type="continuationSeparator" w:id="0">
    <w:p w14:paraId="7BABE42C" w14:textId="77777777" w:rsidR="00716CED" w:rsidRDefault="00716CED" w:rsidP="00F9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363637"/>
      <w:docPartObj>
        <w:docPartGallery w:val="Page Numbers (Bottom of Page)"/>
        <w:docPartUnique/>
      </w:docPartObj>
    </w:sdtPr>
    <w:sdtEndPr>
      <w:rPr>
        <w:noProof/>
      </w:rPr>
    </w:sdtEndPr>
    <w:sdtContent>
      <w:p w14:paraId="00D1C54D" w14:textId="77777777" w:rsidR="00D17005" w:rsidRDefault="003826D6">
        <w:pPr>
          <w:pStyle w:val="Footer"/>
          <w:jc w:val="center"/>
        </w:pPr>
        <w:r>
          <w:fldChar w:fldCharType="begin"/>
        </w:r>
        <w:r>
          <w:instrText xml:space="preserve"> PAGE   \* MERGEFORMAT </w:instrText>
        </w:r>
        <w:r>
          <w:fldChar w:fldCharType="separate"/>
        </w:r>
        <w:r w:rsidR="009E2D44">
          <w:rPr>
            <w:noProof/>
          </w:rPr>
          <w:t>6</w:t>
        </w:r>
        <w:r>
          <w:rPr>
            <w:noProof/>
          </w:rPr>
          <w:fldChar w:fldCharType="end"/>
        </w:r>
      </w:p>
    </w:sdtContent>
  </w:sdt>
  <w:p w14:paraId="0A8AD652" w14:textId="77777777" w:rsidR="00D17005" w:rsidRDefault="00716C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48B01" w14:textId="77777777" w:rsidR="00716CED" w:rsidRDefault="00716CED" w:rsidP="00F96CC9">
      <w:pPr>
        <w:spacing w:after="0" w:line="240" w:lineRule="auto"/>
      </w:pPr>
      <w:r>
        <w:separator/>
      </w:r>
    </w:p>
  </w:footnote>
  <w:footnote w:type="continuationSeparator" w:id="0">
    <w:p w14:paraId="764820ED" w14:textId="77777777" w:rsidR="00716CED" w:rsidRDefault="00716CED" w:rsidP="00F96CC9">
      <w:pPr>
        <w:spacing w:after="0" w:line="240" w:lineRule="auto"/>
      </w:pPr>
      <w:r>
        <w:continuationSeparator/>
      </w:r>
    </w:p>
  </w:footnote>
  <w:footnote w:id="1">
    <w:p w14:paraId="3BC7F38C" w14:textId="6DFCA941" w:rsidR="000D3228" w:rsidRDefault="000D3228" w:rsidP="007E6F6E">
      <w:pPr>
        <w:spacing w:after="0" w:line="240" w:lineRule="auto"/>
        <w:rPr>
          <w:sz w:val="16"/>
          <w:szCs w:val="16"/>
          <w:lang w:val="en-US"/>
        </w:rPr>
      </w:pPr>
      <w:r>
        <w:rPr>
          <w:rStyle w:val="FootnoteReference"/>
        </w:rPr>
        <w:footnoteRef/>
      </w:r>
      <w:r w:rsidR="00D06DC0" w:rsidRPr="00D06DC0">
        <w:rPr>
          <w:sz w:val="16"/>
          <w:szCs w:val="16"/>
          <w:lang w:val="en-US"/>
        </w:rPr>
        <w:t>The Central Bank of Samoa vision for an inclusive financial system is</w:t>
      </w:r>
      <w:r w:rsidR="00D06DC0">
        <w:rPr>
          <w:sz w:val="16"/>
          <w:szCs w:val="16"/>
          <w:lang w:val="en-US"/>
        </w:rPr>
        <w:t xml:space="preserve"> a</w:t>
      </w:r>
      <w:r w:rsidR="00030E48" w:rsidRPr="00030E48">
        <w:rPr>
          <w:sz w:val="16"/>
          <w:szCs w:val="16"/>
          <w:lang w:val="en-US"/>
        </w:rPr>
        <w:t xml:space="preserve"> sound financial system that best serves </w:t>
      </w:r>
      <w:r w:rsidR="006D4322">
        <w:rPr>
          <w:sz w:val="16"/>
          <w:szCs w:val="16"/>
          <w:lang w:val="en-US"/>
        </w:rPr>
        <w:t>all</w:t>
      </w:r>
      <w:r w:rsidR="00030E48" w:rsidRPr="00030E48">
        <w:rPr>
          <w:sz w:val="16"/>
          <w:szCs w:val="16"/>
          <w:lang w:val="en-US"/>
        </w:rPr>
        <w:t xml:space="preserve"> members of society in their pursuit of economic prosperity through a state in which all people who can use them have effective access and satisfactory usage of a full suite of quality financial services from a range of service providers</w:t>
      </w:r>
      <w:r w:rsidR="00191E75">
        <w:rPr>
          <w:sz w:val="16"/>
          <w:szCs w:val="16"/>
          <w:lang w:val="en-US"/>
        </w:rPr>
        <w:t>.</w:t>
      </w:r>
    </w:p>
    <w:p w14:paraId="10F608E5" w14:textId="77777777" w:rsidR="007E6F6E" w:rsidRPr="007E6F6E" w:rsidRDefault="007E6F6E" w:rsidP="007E6F6E">
      <w:pPr>
        <w:spacing w:after="0" w:line="240" w:lineRule="auto"/>
      </w:pPr>
    </w:p>
  </w:footnote>
  <w:footnote w:id="2">
    <w:p w14:paraId="00D711BD" w14:textId="420C290F" w:rsidR="000D3228" w:rsidRPr="00A85676" w:rsidRDefault="000D3228" w:rsidP="00A85676">
      <w:pPr>
        <w:autoSpaceDE w:val="0"/>
        <w:autoSpaceDN w:val="0"/>
        <w:adjustRightInd w:val="0"/>
        <w:spacing w:after="0" w:line="240" w:lineRule="auto"/>
        <w:rPr>
          <w:rFonts w:ascii="Tahoma" w:hAnsi="Tahoma" w:cs="Tahoma"/>
          <w:sz w:val="20"/>
          <w:szCs w:val="20"/>
        </w:rPr>
      </w:pPr>
      <w:r w:rsidRPr="00122613">
        <w:rPr>
          <w:rStyle w:val="FootnoteReference"/>
        </w:rPr>
        <w:footnoteRef/>
      </w:r>
      <w:r w:rsidRPr="00122613">
        <w:t xml:space="preserve"> </w:t>
      </w:r>
      <w:r w:rsidR="00A85676" w:rsidRPr="00A85676">
        <w:rPr>
          <w:sz w:val="16"/>
          <w:szCs w:val="16"/>
          <w:lang w:val="en-US"/>
        </w:rPr>
        <w:t>The AFI Core Set of Indicators was compiled by the AFI Financial Inclusion Data Working Group (FIDWG) for AFI member countries to report on</w:t>
      </w:r>
      <w:r w:rsidR="00A85676">
        <w:rPr>
          <w:sz w:val="16"/>
          <w:szCs w:val="16"/>
          <w:lang w:val="en-US"/>
        </w:rPr>
        <w:t>. It</w:t>
      </w:r>
      <w:r w:rsidRPr="000D3228">
        <w:rPr>
          <w:sz w:val="16"/>
          <w:szCs w:val="16"/>
        </w:rPr>
        <w:t xml:space="preserve"> is a limited set of quantitative indicators that captures the status of financial inclusion in a country. The indicators are meant to measure the most basic and fundamental aspects of financial inclusion in a way that is as </w:t>
      </w:r>
      <w:r w:rsidR="006D4322">
        <w:rPr>
          <w:sz w:val="16"/>
          <w:szCs w:val="16"/>
        </w:rPr>
        <w:t>standardised</w:t>
      </w:r>
      <w:r w:rsidRPr="000D3228">
        <w:rPr>
          <w:sz w:val="16"/>
          <w:szCs w:val="16"/>
        </w:rPr>
        <w:t xml:space="preserve"> as possible while remaining relevant to individual countries</w:t>
      </w:r>
      <w:r w:rsidR="000154DC">
        <w:rPr>
          <w:sz w:val="16"/>
          <w:szCs w:val="16"/>
        </w:rPr>
        <w:t>.</w:t>
      </w:r>
    </w:p>
    <w:p w14:paraId="55D024E6" w14:textId="77777777" w:rsidR="000154DC" w:rsidRPr="000D3228" w:rsidRDefault="000154DC">
      <w:pPr>
        <w:pStyle w:val="FootnoteText"/>
        <w:rPr>
          <w:lang w:val="en-NZ"/>
        </w:rPr>
      </w:pPr>
    </w:p>
  </w:footnote>
  <w:footnote w:id="3">
    <w:p w14:paraId="2D246FF6" w14:textId="7BFAD02D" w:rsidR="000154DC" w:rsidRPr="008B260C" w:rsidRDefault="000154DC" w:rsidP="008B260C">
      <w:pPr>
        <w:autoSpaceDE w:val="0"/>
        <w:autoSpaceDN w:val="0"/>
        <w:adjustRightInd w:val="0"/>
        <w:spacing w:after="0" w:line="240" w:lineRule="auto"/>
        <w:rPr>
          <w:sz w:val="16"/>
          <w:szCs w:val="16"/>
          <w:lang w:val="en-US"/>
        </w:rPr>
      </w:pPr>
      <w:r w:rsidRPr="00122613">
        <w:rPr>
          <w:rStyle w:val="FootnoteReference"/>
        </w:rPr>
        <w:footnoteRef/>
      </w:r>
      <w:r w:rsidRPr="00122613">
        <w:t xml:space="preserve"> </w:t>
      </w:r>
      <w:r w:rsidR="00F63F7F" w:rsidRPr="00F63F7F">
        <w:rPr>
          <w:sz w:val="16"/>
          <w:szCs w:val="16"/>
          <w:lang w:val="en-US"/>
        </w:rPr>
        <w:t xml:space="preserve">The Maya Declaration was created at the 2011 AFI Global Policy Forum held in Mexico. Under the Maya Declaration platform AFI member countries voluntarily make commitments to promote financial </w:t>
      </w:r>
      <w:r w:rsidR="00F63F7F">
        <w:rPr>
          <w:sz w:val="16"/>
          <w:szCs w:val="16"/>
          <w:lang w:val="en-US"/>
        </w:rPr>
        <w:t xml:space="preserve">inclusion and these commitments </w:t>
      </w:r>
      <w:r w:rsidR="00F63F7F" w:rsidRPr="00F63F7F">
        <w:rPr>
          <w:sz w:val="16"/>
          <w:szCs w:val="16"/>
          <w:lang w:val="en-US"/>
        </w:rPr>
        <w:t>vary by scale and policy solution. They are defined and dri</w:t>
      </w:r>
      <w:r w:rsidR="00E11C7E">
        <w:rPr>
          <w:sz w:val="16"/>
          <w:szCs w:val="16"/>
          <w:lang w:val="en-US"/>
        </w:rPr>
        <w:t xml:space="preserve">ven by AFI members themselves, </w:t>
      </w:r>
      <w:r w:rsidR="00F63F7F" w:rsidRPr="00F63F7F">
        <w:rPr>
          <w:sz w:val="16"/>
          <w:szCs w:val="16"/>
          <w:lang w:val="en-US"/>
        </w:rPr>
        <w:t>which provides a unique and powerful incentive to meet their targets</w:t>
      </w:r>
      <w:r w:rsidR="00191E75">
        <w:rPr>
          <w:sz w:val="16"/>
          <w:szCs w:val="16"/>
          <w:lang w:val="en-US"/>
        </w:rPr>
        <w:t>.</w:t>
      </w:r>
    </w:p>
  </w:footnote>
  <w:footnote w:id="4">
    <w:p w14:paraId="35403232" w14:textId="7AD279AF" w:rsidR="008E5AAD" w:rsidRPr="008E5AAD" w:rsidRDefault="007E6F6E">
      <w:pPr>
        <w:pStyle w:val="FootnoteText"/>
        <w:rPr>
          <w:sz w:val="16"/>
          <w:szCs w:val="16"/>
        </w:rPr>
      </w:pPr>
      <w:r>
        <w:rPr>
          <w:rStyle w:val="FootnoteReference"/>
        </w:rPr>
        <w:footnoteRef/>
      </w:r>
      <w:r>
        <w:t xml:space="preserve"> </w:t>
      </w:r>
      <w:r w:rsidRPr="00381AFE">
        <w:rPr>
          <w:sz w:val="16"/>
          <w:szCs w:val="16"/>
        </w:rPr>
        <w:t xml:space="preserve">These indicators were informed after conducting the DSS in March 2015 and reports for the previous 12 months, </w:t>
      </w:r>
      <w:proofErr w:type="spellStart"/>
      <w:r w:rsidRPr="00381AFE">
        <w:rPr>
          <w:sz w:val="16"/>
          <w:szCs w:val="16"/>
        </w:rPr>
        <w:t>i.e</w:t>
      </w:r>
      <w:proofErr w:type="spellEnd"/>
      <w:r w:rsidRPr="00381AFE">
        <w:rPr>
          <w:sz w:val="16"/>
          <w:szCs w:val="16"/>
        </w:rPr>
        <w:t>, March 2014 to March 2015</w:t>
      </w:r>
    </w:p>
  </w:footnote>
  <w:footnote w:id="5">
    <w:p w14:paraId="534DF64D" w14:textId="00A8F2E6" w:rsidR="007E6F6E" w:rsidRPr="007E6F6E" w:rsidRDefault="007E6F6E">
      <w:pPr>
        <w:pStyle w:val="FootnoteText"/>
        <w:rPr>
          <w:lang w:val="en-NZ"/>
        </w:rPr>
      </w:pPr>
      <w:r>
        <w:rPr>
          <w:rStyle w:val="FootnoteReference"/>
        </w:rPr>
        <w:footnoteRef/>
      </w:r>
      <w:r>
        <w:t xml:space="preserve"> </w:t>
      </w:r>
      <w:r w:rsidRPr="00381AFE">
        <w:rPr>
          <w:sz w:val="16"/>
          <w:szCs w:val="16"/>
        </w:rPr>
        <w:t>Source: Population and Housing Census Analytical Report, 2011 (total adult population is based on annual growth rate of 0.8 percent)</w:t>
      </w:r>
    </w:p>
  </w:footnote>
  <w:footnote w:id="6">
    <w:p w14:paraId="2B2F2720" w14:textId="77777777" w:rsidR="00BE7341" w:rsidRDefault="0065277F" w:rsidP="00BE7341">
      <w:pPr>
        <w:rPr>
          <w:rFonts w:ascii="Trebuchet MS" w:hAnsi="Trebuchet MS"/>
          <w:sz w:val="20"/>
          <w:szCs w:val="20"/>
        </w:rPr>
      </w:pPr>
      <w:r>
        <w:rPr>
          <w:rStyle w:val="FootnoteReference"/>
        </w:rPr>
        <w:footnoteRef/>
      </w:r>
      <w:r>
        <w:t xml:space="preserve"> </w:t>
      </w:r>
      <w:r w:rsidR="00BE7341" w:rsidRPr="00BE7341">
        <w:rPr>
          <w:sz w:val="16"/>
          <w:szCs w:val="16"/>
          <w:lang w:val="en-US"/>
        </w:rPr>
        <w:t xml:space="preserve">Unless otherwise noted, exchange rate used is USD 1.00 to WST 2.27, as of 11 June 2015 via </w:t>
      </w:r>
      <w:hyperlink r:id="rId1" w:history="1">
        <w:r w:rsidR="00BE7341" w:rsidRPr="00BE7341">
          <w:rPr>
            <w:sz w:val="16"/>
            <w:szCs w:val="16"/>
            <w:lang w:val="en-US"/>
          </w:rPr>
          <w:t>http://www.oanda.com/</w:t>
        </w:r>
      </w:hyperlink>
      <w:r w:rsidR="00BE7341" w:rsidRPr="00BE7341">
        <w:rPr>
          <w:sz w:val="16"/>
          <w:szCs w:val="16"/>
          <w:lang w:val="en-US"/>
        </w:rPr>
        <w:t>.</w:t>
      </w:r>
    </w:p>
    <w:p w14:paraId="2D5E2B50" w14:textId="4EEE6896" w:rsidR="0065277F" w:rsidRPr="0065277F" w:rsidRDefault="0065277F">
      <w:pPr>
        <w:pStyle w:val="FootnoteText"/>
        <w:rPr>
          <w:lang w:val="en-N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D4930"/>
    <w:multiLevelType w:val="hybridMultilevel"/>
    <w:tmpl w:val="01B03FB2"/>
    <w:lvl w:ilvl="0" w:tplc="04090001">
      <w:start w:val="1"/>
      <w:numFmt w:val="bullet"/>
      <w:lvlText w:val=""/>
      <w:lvlJc w:val="left"/>
      <w:pPr>
        <w:ind w:left="1046" w:hanging="360"/>
      </w:pPr>
      <w:rPr>
        <w:rFonts w:ascii="Symbol" w:hAnsi="Symbol"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1">
    <w:nsid w:val="4B634768"/>
    <w:multiLevelType w:val="hybridMultilevel"/>
    <w:tmpl w:val="5A106BC8"/>
    <w:lvl w:ilvl="0" w:tplc="FFFFFFFF">
      <w:start w:val="1"/>
      <w:numFmt w:val="bullet"/>
      <w:lvlText w:val=""/>
      <w:legacy w:legacy="1" w:legacySpace="0" w:legacyIndent="283"/>
      <w:lvlJc w:val="left"/>
      <w:pPr>
        <w:ind w:left="283" w:hanging="283"/>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se Snashall-Woodham">
    <w15:presenceInfo w15:providerId="AD" w15:userId="S-1-5-21-992323960-1795397642-3644416148-1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CC9"/>
    <w:rsid w:val="0001007A"/>
    <w:rsid w:val="000154DC"/>
    <w:rsid w:val="00020283"/>
    <w:rsid w:val="00030E48"/>
    <w:rsid w:val="00036C18"/>
    <w:rsid w:val="0006338B"/>
    <w:rsid w:val="000711C7"/>
    <w:rsid w:val="000876D4"/>
    <w:rsid w:val="000C2738"/>
    <w:rsid w:val="000D3228"/>
    <w:rsid w:val="000D483E"/>
    <w:rsid w:val="00122613"/>
    <w:rsid w:val="001251F7"/>
    <w:rsid w:val="00125E17"/>
    <w:rsid w:val="00191E75"/>
    <w:rsid w:val="001A69B6"/>
    <w:rsid w:val="001E356C"/>
    <w:rsid w:val="00200447"/>
    <w:rsid w:val="002129AC"/>
    <w:rsid w:val="00223E81"/>
    <w:rsid w:val="002750D8"/>
    <w:rsid w:val="002770AA"/>
    <w:rsid w:val="002F4B90"/>
    <w:rsid w:val="002F7BCB"/>
    <w:rsid w:val="003063F3"/>
    <w:rsid w:val="00317294"/>
    <w:rsid w:val="00322C4A"/>
    <w:rsid w:val="00337196"/>
    <w:rsid w:val="0034451D"/>
    <w:rsid w:val="00365749"/>
    <w:rsid w:val="00377AFE"/>
    <w:rsid w:val="00381AFE"/>
    <w:rsid w:val="003826D6"/>
    <w:rsid w:val="003924D9"/>
    <w:rsid w:val="003E7746"/>
    <w:rsid w:val="00445E78"/>
    <w:rsid w:val="00447946"/>
    <w:rsid w:val="00451CFD"/>
    <w:rsid w:val="00471BB8"/>
    <w:rsid w:val="004C2D87"/>
    <w:rsid w:val="004E328C"/>
    <w:rsid w:val="00510771"/>
    <w:rsid w:val="00520017"/>
    <w:rsid w:val="0052183D"/>
    <w:rsid w:val="00563271"/>
    <w:rsid w:val="0059224E"/>
    <w:rsid w:val="005947F1"/>
    <w:rsid w:val="005D73F5"/>
    <w:rsid w:val="0065277F"/>
    <w:rsid w:val="006639B2"/>
    <w:rsid w:val="0066430A"/>
    <w:rsid w:val="00677A02"/>
    <w:rsid w:val="00677FBB"/>
    <w:rsid w:val="0068425A"/>
    <w:rsid w:val="006D4322"/>
    <w:rsid w:val="00703946"/>
    <w:rsid w:val="00703A30"/>
    <w:rsid w:val="00706FE8"/>
    <w:rsid w:val="00716CED"/>
    <w:rsid w:val="00785B74"/>
    <w:rsid w:val="007D360C"/>
    <w:rsid w:val="007E0FA6"/>
    <w:rsid w:val="007E6F6E"/>
    <w:rsid w:val="007F45EA"/>
    <w:rsid w:val="00801288"/>
    <w:rsid w:val="008B260C"/>
    <w:rsid w:val="008C0039"/>
    <w:rsid w:val="008E4EC3"/>
    <w:rsid w:val="008E5AAD"/>
    <w:rsid w:val="008F5E7D"/>
    <w:rsid w:val="009028D5"/>
    <w:rsid w:val="0090714B"/>
    <w:rsid w:val="009524EE"/>
    <w:rsid w:val="00987980"/>
    <w:rsid w:val="009E2D44"/>
    <w:rsid w:val="00A12872"/>
    <w:rsid w:val="00A2591D"/>
    <w:rsid w:val="00A3561C"/>
    <w:rsid w:val="00A44A1D"/>
    <w:rsid w:val="00A82791"/>
    <w:rsid w:val="00A85676"/>
    <w:rsid w:val="00A90469"/>
    <w:rsid w:val="00AC521C"/>
    <w:rsid w:val="00AC5AFC"/>
    <w:rsid w:val="00B107F3"/>
    <w:rsid w:val="00B40414"/>
    <w:rsid w:val="00B40D6E"/>
    <w:rsid w:val="00B715F6"/>
    <w:rsid w:val="00B93B65"/>
    <w:rsid w:val="00BC1F34"/>
    <w:rsid w:val="00BE3721"/>
    <w:rsid w:val="00BE7341"/>
    <w:rsid w:val="00BF267E"/>
    <w:rsid w:val="00BF332D"/>
    <w:rsid w:val="00C23019"/>
    <w:rsid w:val="00C51D54"/>
    <w:rsid w:val="00CE4FD1"/>
    <w:rsid w:val="00CF55A5"/>
    <w:rsid w:val="00CF5D61"/>
    <w:rsid w:val="00CF6600"/>
    <w:rsid w:val="00D06DC0"/>
    <w:rsid w:val="00D16412"/>
    <w:rsid w:val="00D62D52"/>
    <w:rsid w:val="00DA029C"/>
    <w:rsid w:val="00DB3FD4"/>
    <w:rsid w:val="00DE7910"/>
    <w:rsid w:val="00E02E48"/>
    <w:rsid w:val="00E11C7E"/>
    <w:rsid w:val="00E45163"/>
    <w:rsid w:val="00E8206F"/>
    <w:rsid w:val="00EA38B0"/>
    <w:rsid w:val="00EC09F8"/>
    <w:rsid w:val="00F63F7F"/>
    <w:rsid w:val="00F733EF"/>
    <w:rsid w:val="00F90B42"/>
    <w:rsid w:val="00F96CC9"/>
    <w:rsid w:val="00FA2F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D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A2591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Accent1">
    <w:name w:val="Light Shading Accent 1"/>
    <w:basedOn w:val="TableNormal"/>
    <w:uiPriority w:val="60"/>
    <w:rsid w:val="00F96CC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Footer">
    <w:name w:val="footer"/>
    <w:basedOn w:val="Normal"/>
    <w:link w:val="FooterChar"/>
    <w:uiPriority w:val="99"/>
    <w:unhideWhenUsed/>
    <w:rsid w:val="00F96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CC9"/>
  </w:style>
  <w:style w:type="table" w:customStyle="1" w:styleId="PlainTable21">
    <w:name w:val="Plain Table 21"/>
    <w:basedOn w:val="TableNormal"/>
    <w:uiPriority w:val="99"/>
    <w:rsid w:val="00F96CC9"/>
    <w:pPr>
      <w:spacing w:after="0" w:line="240" w:lineRule="auto"/>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dnoteText">
    <w:name w:val="endnote text"/>
    <w:basedOn w:val="Normal"/>
    <w:link w:val="EndnoteTextChar"/>
    <w:uiPriority w:val="99"/>
    <w:semiHidden/>
    <w:unhideWhenUsed/>
    <w:rsid w:val="00F96C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6CC9"/>
    <w:rPr>
      <w:sz w:val="20"/>
      <w:szCs w:val="20"/>
    </w:rPr>
  </w:style>
  <w:style w:type="paragraph" w:styleId="BalloonText">
    <w:name w:val="Balloon Text"/>
    <w:basedOn w:val="Normal"/>
    <w:link w:val="BalloonTextChar"/>
    <w:uiPriority w:val="99"/>
    <w:semiHidden/>
    <w:unhideWhenUsed/>
    <w:rsid w:val="00F96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CC9"/>
    <w:rPr>
      <w:rFonts w:ascii="Tahoma" w:hAnsi="Tahoma" w:cs="Tahoma"/>
      <w:sz w:val="16"/>
      <w:szCs w:val="16"/>
    </w:rPr>
  </w:style>
  <w:style w:type="paragraph" w:styleId="NoSpacing">
    <w:name w:val="No Spacing"/>
    <w:link w:val="NoSpacingChar"/>
    <w:uiPriority w:val="1"/>
    <w:qFormat/>
    <w:rsid w:val="00B93B6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93B65"/>
    <w:rPr>
      <w:rFonts w:eastAsiaTheme="minorEastAsia"/>
      <w:lang w:val="en-US" w:eastAsia="ja-JP"/>
    </w:rPr>
  </w:style>
  <w:style w:type="character" w:customStyle="1" w:styleId="Heading1Char">
    <w:name w:val="Heading 1 Char"/>
    <w:basedOn w:val="DefaultParagraphFont"/>
    <w:link w:val="Heading1"/>
    <w:uiPriority w:val="9"/>
    <w:rsid w:val="00A2591D"/>
    <w:rPr>
      <w:rFonts w:asciiTheme="majorHAnsi" w:eastAsiaTheme="majorEastAsia" w:hAnsiTheme="majorHAnsi" w:cstheme="majorBidi"/>
      <w:color w:val="365F91" w:themeColor="accent1" w:themeShade="BF"/>
      <w:sz w:val="32"/>
      <w:szCs w:val="32"/>
      <w:lang w:val="en-US"/>
    </w:rPr>
  </w:style>
  <w:style w:type="paragraph" w:styleId="FootnoteText">
    <w:name w:val="footnote text"/>
    <w:basedOn w:val="Normal"/>
    <w:link w:val="FootnoteTextChar"/>
    <w:uiPriority w:val="99"/>
    <w:unhideWhenUsed/>
    <w:rsid w:val="00A2591D"/>
    <w:pPr>
      <w:spacing w:after="0" w:line="240" w:lineRule="auto"/>
    </w:pPr>
    <w:rPr>
      <w:sz w:val="24"/>
      <w:szCs w:val="24"/>
      <w:lang w:val="en-US"/>
    </w:rPr>
  </w:style>
  <w:style w:type="character" w:customStyle="1" w:styleId="FootnoteTextChar">
    <w:name w:val="Footnote Text Char"/>
    <w:basedOn w:val="DefaultParagraphFont"/>
    <w:link w:val="FootnoteText"/>
    <w:uiPriority w:val="99"/>
    <w:rsid w:val="00A2591D"/>
    <w:rPr>
      <w:sz w:val="24"/>
      <w:szCs w:val="24"/>
      <w:lang w:val="en-US"/>
    </w:rPr>
  </w:style>
  <w:style w:type="character" w:styleId="FootnoteReference">
    <w:name w:val="footnote reference"/>
    <w:basedOn w:val="DefaultParagraphFont"/>
    <w:uiPriority w:val="99"/>
    <w:unhideWhenUsed/>
    <w:rsid w:val="00A2591D"/>
    <w:rPr>
      <w:vertAlign w:val="superscript"/>
    </w:rPr>
  </w:style>
  <w:style w:type="character" w:customStyle="1" w:styleId="apple-converted-space">
    <w:name w:val="apple-converted-space"/>
    <w:basedOn w:val="DefaultParagraphFont"/>
    <w:rsid w:val="000154DC"/>
  </w:style>
  <w:style w:type="character" w:styleId="Hyperlink">
    <w:name w:val="Hyperlink"/>
    <w:basedOn w:val="DefaultParagraphFont"/>
    <w:uiPriority w:val="99"/>
    <w:semiHidden/>
    <w:unhideWhenUsed/>
    <w:rsid w:val="000154DC"/>
    <w:rPr>
      <w:color w:val="0000FF"/>
      <w:u w:val="single"/>
    </w:rPr>
  </w:style>
  <w:style w:type="character" w:styleId="CommentReference">
    <w:name w:val="annotation reference"/>
    <w:basedOn w:val="DefaultParagraphFont"/>
    <w:uiPriority w:val="99"/>
    <w:semiHidden/>
    <w:unhideWhenUsed/>
    <w:rsid w:val="00DA029C"/>
    <w:rPr>
      <w:sz w:val="16"/>
      <w:szCs w:val="16"/>
    </w:rPr>
  </w:style>
  <w:style w:type="paragraph" w:styleId="CommentText">
    <w:name w:val="annotation text"/>
    <w:basedOn w:val="Normal"/>
    <w:link w:val="CommentTextChar"/>
    <w:uiPriority w:val="99"/>
    <w:semiHidden/>
    <w:unhideWhenUsed/>
    <w:rsid w:val="00DA029C"/>
    <w:pPr>
      <w:spacing w:line="240" w:lineRule="auto"/>
    </w:pPr>
    <w:rPr>
      <w:sz w:val="20"/>
      <w:szCs w:val="20"/>
    </w:rPr>
  </w:style>
  <w:style w:type="character" w:customStyle="1" w:styleId="CommentTextChar">
    <w:name w:val="Comment Text Char"/>
    <w:basedOn w:val="DefaultParagraphFont"/>
    <w:link w:val="CommentText"/>
    <w:uiPriority w:val="99"/>
    <w:semiHidden/>
    <w:rsid w:val="00DA029C"/>
    <w:rPr>
      <w:sz w:val="20"/>
      <w:szCs w:val="20"/>
    </w:rPr>
  </w:style>
  <w:style w:type="paragraph" w:styleId="CommentSubject">
    <w:name w:val="annotation subject"/>
    <w:basedOn w:val="CommentText"/>
    <w:next w:val="CommentText"/>
    <w:link w:val="CommentSubjectChar"/>
    <w:uiPriority w:val="99"/>
    <w:semiHidden/>
    <w:unhideWhenUsed/>
    <w:rsid w:val="00DA029C"/>
    <w:rPr>
      <w:b/>
      <w:bCs/>
    </w:rPr>
  </w:style>
  <w:style w:type="character" w:customStyle="1" w:styleId="CommentSubjectChar">
    <w:name w:val="Comment Subject Char"/>
    <w:basedOn w:val="CommentTextChar"/>
    <w:link w:val="CommentSubject"/>
    <w:uiPriority w:val="99"/>
    <w:semiHidden/>
    <w:rsid w:val="00DA029C"/>
    <w:rPr>
      <w:b/>
      <w:bCs/>
      <w:sz w:val="20"/>
      <w:szCs w:val="20"/>
    </w:rPr>
  </w:style>
  <w:style w:type="table" w:styleId="MediumShading2-Accent4">
    <w:name w:val="Medium Shading 2 Accent 4"/>
    <w:basedOn w:val="TableNormal"/>
    <w:uiPriority w:val="64"/>
    <w:rsid w:val="00FA2F9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is">
    <w:name w:val="Emphasis"/>
    <w:basedOn w:val="DefaultParagraphFont"/>
    <w:uiPriority w:val="20"/>
    <w:qFormat/>
    <w:rsid w:val="002F7BC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A2591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Accent1">
    <w:name w:val="Light Shading Accent 1"/>
    <w:basedOn w:val="TableNormal"/>
    <w:uiPriority w:val="60"/>
    <w:rsid w:val="00F96CC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Footer">
    <w:name w:val="footer"/>
    <w:basedOn w:val="Normal"/>
    <w:link w:val="FooterChar"/>
    <w:uiPriority w:val="99"/>
    <w:unhideWhenUsed/>
    <w:rsid w:val="00F96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CC9"/>
  </w:style>
  <w:style w:type="table" w:customStyle="1" w:styleId="PlainTable21">
    <w:name w:val="Plain Table 21"/>
    <w:basedOn w:val="TableNormal"/>
    <w:uiPriority w:val="99"/>
    <w:rsid w:val="00F96CC9"/>
    <w:pPr>
      <w:spacing w:after="0" w:line="240" w:lineRule="auto"/>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dnoteText">
    <w:name w:val="endnote text"/>
    <w:basedOn w:val="Normal"/>
    <w:link w:val="EndnoteTextChar"/>
    <w:uiPriority w:val="99"/>
    <w:semiHidden/>
    <w:unhideWhenUsed/>
    <w:rsid w:val="00F96C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6CC9"/>
    <w:rPr>
      <w:sz w:val="20"/>
      <w:szCs w:val="20"/>
    </w:rPr>
  </w:style>
  <w:style w:type="paragraph" w:styleId="BalloonText">
    <w:name w:val="Balloon Text"/>
    <w:basedOn w:val="Normal"/>
    <w:link w:val="BalloonTextChar"/>
    <w:uiPriority w:val="99"/>
    <w:semiHidden/>
    <w:unhideWhenUsed/>
    <w:rsid w:val="00F96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CC9"/>
    <w:rPr>
      <w:rFonts w:ascii="Tahoma" w:hAnsi="Tahoma" w:cs="Tahoma"/>
      <w:sz w:val="16"/>
      <w:szCs w:val="16"/>
    </w:rPr>
  </w:style>
  <w:style w:type="paragraph" w:styleId="NoSpacing">
    <w:name w:val="No Spacing"/>
    <w:link w:val="NoSpacingChar"/>
    <w:uiPriority w:val="1"/>
    <w:qFormat/>
    <w:rsid w:val="00B93B6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93B65"/>
    <w:rPr>
      <w:rFonts w:eastAsiaTheme="minorEastAsia"/>
      <w:lang w:val="en-US" w:eastAsia="ja-JP"/>
    </w:rPr>
  </w:style>
  <w:style w:type="character" w:customStyle="1" w:styleId="Heading1Char">
    <w:name w:val="Heading 1 Char"/>
    <w:basedOn w:val="DefaultParagraphFont"/>
    <w:link w:val="Heading1"/>
    <w:uiPriority w:val="9"/>
    <w:rsid w:val="00A2591D"/>
    <w:rPr>
      <w:rFonts w:asciiTheme="majorHAnsi" w:eastAsiaTheme="majorEastAsia" w:hAnsiTheme="majorHAnsi" w:cstheme="majorBidi"/>
      <w:color w:val="365F91" w:themeColor="accent1" w:themeShade="BF"/>
      <w:sz w:val="32"/>
      <w:szCs w:val="32"/>
      <w:lang w:val="en-US"/>
    </w:rPr>
  </w:style>
  <w:style w:type="paragraph" w:styleId="FootnoteText">
    <w:name w:val="footnote text"/>
    <w:basedOn w:val="Normal"/>
    <w:link w:val="FootnoteTextChar"/>
    <w:uiPriority w:val="99"/>
    <w:unhideWhenUsed/>
    <w:rsid w:val="00A2591D"/>
    <w:pPr>
      <w:spacing w:after="0" w:line="240" w:lineRule="auto"/>
    </w:pPr>
    <w:rPr>
      <w:sz w:val="24"/>
      <w:szCs w:val="24"/>
      <w:lang w:val="en-US"/>
    </w:rPr>
  </w:style>
  <w:style w:type="character" w:customStyle="1" w:styleId="FootnoteTextChar">
    <w:name w:val="Footnote Text Char"/>
    <w:basedOn w:val="DefaultParagraphFont"/>
    <w:link w:val="FootnoteText"/>
    <w:uiPriority w:val="99"/>
    <w:rsid w:val="00A2591D"/>
    <w:rPr>
      <w:sz w:val="24"/>
      <w:szCs w:val="24"/>
      <w:lang w:val="en-US"/>
    </w:rPr>
  </w:style>
  <w:style w:type="character" w:styleId="FootnoteReference">
    <w:name w:val="footnote reference"/>
    <w:basedOn w:val="DefaultParagraphFont"/>
    <w:uiPriority w:val="99"/>
    <w:unhideWhenUsed/>
    <w:rsid w:val="00A2591D"/>
    <w:rPr>
      <w:vertAlign w:val="superscript"/>
    </w:rPr>
  </w:style>
  <w:style w:type="character" w:customStyle="1" w:styleId="apple-converted-space">
    <w:name w:val="apple-converted-space"/>
    <w:basedOn w:val="DefaultParagraphFont"/>
    <w:rsid w:val="000154DC"/>
  </w:style>
  <w:style w:type="character" w:styleId="Hyperlink">
    <w:name w:val="Hyperlink"/>
    <w:basedOn w:val="DefaultParagraphFont"/>
    <w:uiPriority w:val="99"/>
    <w:semiHidden/>
    <w:unhideWhenUsed/>
    <w:rsid w:val="000154DC"/>
    <w:rPr>
      <w:color w:val="0000FF"/>
      <w:u w:val="single"/>
    </w:rPr>
  </w:style>
  <w:style w:type="character" w:styleId="CommentReference">
    <w:name w:val="annotation reference"/>
    <w:basedOn w:val="DefaultParagraphFont"/>
    <w:uiPriority w:val="99"/>
    <w:semiHidden/>
    <w:unhideWhenUsed/>
    <w:rsid w:val="00DA029C"/>
    <w:rPr>
      <w:sz w:val="16"/>
      <w:szCs w:val="16"/>
    </w:rPr>
  </w:style>
  <w:style w:type="paragraph" w:styleId="CommentText">
    <w:name w:val="annotation text"/>
    <w:basedOn w:val="Normal"/>
    <w:link w:val="CommentTextChar"/>
    <w:uiPriority w:val="99"/>
    <w:semiHidden/>
    <w:unhideWhenUsed/>
    <w:rsid w:val="00DA029C"/>
    <w:pPr>
      <w:spacing w:line="240" w:lineRule="auto"/>
    </w:pPr>
    <w:rPr>
      <w:sz w:val="20"/>
      <w:szCs w:val="20"/>
    </w:rPr>
  </w:style>
  <w:style w:type="character" w:customStyle="1" w:styleId="CommentTextChar">
    <w:name w:val="Comment Text Char"/>
    <w:basedOn w:val="DefaultParagraphFont"/>
    <w:link w:val="CommentText"/>
    <w:uiPriority w:val="99"/>
    <w:semiHidden/>
    <w:rsid w:val="00DA029C"/>
    <w:rPr>
      <w:sz w:val="20"/>
      <w:szCs w:val="20"/>
    </w:rPr>
  </w:style>
  <w:style w:type="paragraph" w:styleId="CommentSubject">
    <w:name w:val="annotation subject"/>
    <w:basedOn w:val="CommentText"/>
    <w:next w:val="CommentText"/>
    <w:link w:val="CommentSubjectChar"/>
    <w:uiPriority w:val="99"/>
    <w:semiHidden/>
    <w:unhideWhenUsed/>
    <w:rsid w:val="00DA029C"/>
    <w:rPr>
      <w:b/>
      <w:bCs/>
    </w:rPr>
  </w:style>
  <w:style w:type="character" w:customStyle="1" w:styleId="CommentSubjectChar">
    <w:name w:val="Comment Subject Char"/>
    <w:basedOn w:val="CommentTextChar"/>
    <w:link w:val="CommentSubject"/>
    <w:uiPriority w:val="99"/>
    <w:semiHidden/>
    <w:rsid w:val="00DA029C"/>
    <w:rPr>
      <w:b/>
      <w:bCs/>
      <w:sz w:val="20"/>
      <w:szCs w:val="20"/>
    </w:rPr>
  </w:style>
  <w:style w:type="table" w:styleId="MediumShading2-Accent4">
    <w:name w:val="Medium Shading 2 Accent 4"/>
    <w:basedOn w:val="TableNormal"/>
    <w:uiPriority w:val="64"/>
    <w:rsid w:val="00FA2F9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is">
    <w:name w:val="Emphasis"/>
    <w:basedOn w:val="DefaultParagraphFont"/>
    <w:uiPriority w:val="20"/>
    <w:qFormat/>
    <w:rsid w:val="002F7B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227239">
      <w:bodyDiv w:val="1"/>
      <w:marLeft w:val="0"/>
      <w:marRight w:val="0"/>
      <w:marTop w:val="0"/>
      <w:marBottom w:val="0"/>
      <w:divBdr>
        <w:top w:val="none" w:sz="0" w:space="0" w:color="auto"/>
        <w:left w:val="none" w:sz="0" w:space="0" w:color="auto"/>
        <w:bottom w:val="none" w:sz="0" w:space="0" w:color="auto"/>
        <w:right w:val="none" w:sz="0" w:space="0" w:color="auto"/>
      </w:divBdr>
    </w:div>
    <w:div w:id="1333683696">
      <w:bodyDiv w:val="1"/>
      <w:marLeft w:val="0"/>
      <w:marRight w:val="0"/>
      <w:marTop w:val="0"/>
      <w:marBottom w:val="0"/>
      <w:divBdr>
        <w:top w:val="none" w:sz="0" w:space="0" w:color="auto"/>
        <w:left w:val="none" w:sz="0" w:space="0" w:color="auto"/>
        <w:bottom w:val="none" w:sz="0" w:space="0" w:color="auto"/>
        <w:right w:val="none" w:sz="0" w:space="0" w:color="auto"/>
      </w:divBdr>
    </w:div>
    <w:div w:id="2040888637">
      <w:bodyDiv w:val="1"/>
      <w:marLeft w:val="0"/>
      <w:marRight w:val="0"/>
      <w:marTop w:val="0"/>
      <w:marBottom w:val="0"/>
      <w:divBdr>
        <w:top w:val="none" w:sz="0" w:space="0" w:color="auto"/>
        <w:left w:val="none" w:sz="0" w:space="0" w:color="auto"/>
        <w:bottom w:val="none" w:sz="0" w:space="0" w:color="auto"/>
        <w:right w:val="none" w:sz="0" w:space="0" w:color="auto"/>
      </w:divBdr>
    </w:div>
    <w:div w:id="209678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F:\Documents\DATA\Access%20Points%20Quaterly%20Updates\PIWG%20Indicators%20reporting%20template%20v2%20-%20SAMOA%20data%20as%20of%2030%20June%202014.xls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F:\Documents\DATA\Access%20Points%20Quaterly%20Updates\PIWG%20Indicators%20reporting%20template%20v2%20-%20SAMOA%20data%20as%20of%2030%20June%202014.xlsx" TargetMode="External"/><Relationship Id="rId17" Type="http://schemas.openxmlformats.org/officeDocument/2006/relationships/fontTable" Target="fontTable.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F:\Documents\DATA\Access%20Points%20Quaterly%20Updates\PIWG%20Indicators%20reporting%20template%20v2%20-%20SAMOA%20data%20as%20of%2030%20June%202014.xlsx"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file:///F:\Documents\DATA\Access%20Points%20Quaterly%20Updates\PIWG%20Indicators%20reporting%20template%20v2%20-%20SAMOA%20data%20as%20of%2030%20June%202014.xlsx" TargetMode="External"/><Relationship Id="rId10" Type="http://schemas.openxmlformats.org/officeDocument/2006/relationships/hyperlink" Target="file:///F:\Documents\DATA\Access%20Points%20Quaterly%20Updates\PIWG%20Indicators%20reporting%20template%20v2%20-%20SAMOA%20data%20as%20of%2030%20June%202014.xls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F:\Documents\DATA\Access%20Points%20Quaterly%20Updates\PIWG%20Indicators%20reporting%20template%20v2%20-%20SAMOA%20data%20as%20of%2030%20June%202014.xls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and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49C6A-CAC9-49CD-B9A5-74658A27E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1728</Words>
  <Characters>9854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SAMOA’S FINANCIAL INCLUSION REPORT</vt:lpstr>
    </vt:vector>
  </TitlesOfParts>
  <Company>Hewlett-Packard Company</Company>
  <LinksUpToDate>false</LinksUpToDate>
  <CharactersWithSpaces>11559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SAMOA’S FINANCIAL INCLUSION REPORT</dc:title>
  <dc:subject>June 2015</dc:subject>
  <dc:creator>Prepared by Financial System Development Department</dc:creator>
  <cp:lastModifiedBy>lanna.lome</cp:lastModifiedBy>
  <cp:revision>2</cp:revision>
  <cp:lastPrinted>2015-08-26T03:35:00Z</cp:lastPrinted>
  <dcterms:created xsi:type="dcterms:W3CDTF">2016-02-07T22:20:00Z</dcterms:created>
  <dcterms:modified xsi:type="dcterms:W3CDTF">2016-02-07T22:20:00Z</dcterms:modified>
</cp:coreProperties>
</file>